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 ΤΜΗΜΑ: Β΄</w:t>
      </w:r>
    </w:p>
    <w:p>
      <w:pPr>
        <w:spacing w:before="240" w:after="240"/>
        <w:rPr>
          <w:lang w:val="el" w:eastAsia="el"/>
        </w:rPr>
      </w:pPr>
      <w:r>
        <w:rPr>
          <w:lang w:val="el" w:eastAsia="el"/>
        </w:rPr>
        <w:t>Καρ. Σερβίας 10 101 84 ΑΘΗΝΑ Ελ. Φραγκούλη 210-3610030 210-3615052</w:t>
      </w:r>
    </w:p>
    <w:p>
      <w:pPr>
        <w:spacing w:before="240" w:after="240"/>
        <w:rPr>
          <w:lang w:val="el" w:eastAsia="el"/>
        </w:rPr>
      </w:pPr>
      <w:r>
        <w:rPr>
          <w:b/>
          <w:bCs/>
          <w:lang w:val="el" w:eastAsia="el"/>
        </w:rPr>
        <w:t>ΘEMA: «Τρόπος έκδοσης φορολογικών στοιχείων, για την είσπραξη του αντιτίμου των διοδίων, με τη χρήση ηλεκτρονικών φορητών πομπών»</w:t>
      </w:r>
    </w:p>
    <w:p>
      <w:pPr>
        <w:spacing w:before="240" w:after="240"/>
        <w:rPr>
          <w:lang w:val="el" w:eastAsia="el"/>
        </w:rPr>
      </w:pPr>
      <w:r>
        <w:rPr>
          <w:lang w:val="el" w:eastAsia="el"/>
        </w:rPr>
        <w:t>Με αφορμή γραπτά και προφορικά ερωτήματα, σχετικά με το προαναφερόμενο θέμα, σας γνωρίζουμε τα εξής:</w:t>
      </w:r>
    </w:p>
    <w:p>
      <w:pPr>
        <w:spacing w:before="240" w:after="240"/>
        <w:rPr>
          <w:lang w:val="el" w:eastAsia="el"/>
        </w:rPr>
      </w:pPr>
      <w:r>
        <w:rPr>
          <w:lang w:val="el" w:eastAsia="el"/>
        </w:rPr>
        <w:t>1. Με την απόφαση του Υπουργού Οικονομικών 1037084/289/0015/ΠΟΛ. 1114/26.4.2001 (ΦΕΚ 573 Β΄), ορίστηκαν τα φορολογικά στοιχεία για την είσπραξη του αντιτίμου των διοδίων,οι διατάξεις της οποίας, σύμφωνα με τα οριζόμενα στην παράγραφο 4 αυτής, εφαρμόζονται και σε κάθε περίπτωση παραχώρησης της εκμετάλλευσης διοδίων της Ελληνικής Επικράτειας.</w:t>
      </w:r>
    </w:p>
    <w:p>
      <w:pPr>
        <w:spacing w:before="240" w:after="240"/>
        <w:rPr>
          <w:lang w:val="el" w:eastAsia="el"/>
        </w:rPr>
      </w:pPr>
      <w:r>
        <w:rPr>
          <w:lang w:val="el" w:eastAsia="el"/>
        </w:rPr>
        <w:t>Για την εμφάνιση του εσόδου από την εκμετάλλευση των διοδίων, με την παράγραφο 1 της απόφασης αυτής, εγκρίθηκε η έκδοση των σχετικών παραστατικών, σύμφωνα με τα οριζόμενα στις διατάξεις των άρθρων 12 παράγραφος 16β΄ και 13 παράγραφος 4 του Κ.Β.Σ. (π.δ. 186/1992), όπως ίσχυε μέχρι 31.12.2012 και αντίστοιχα, με τα οριζόμενα στις διατάξεις των άρθρων των άρθρων 6 παράγραφος 16 και 7 παράγραφος 5 του Κ.Φ.Α.Σ. (ν. 4093/2012, υποπαράγραφος Ε1), όπως ισχύει από 1.1.2013.</w:t>
      </w:r>
    </w:p>
    <w:p>
      <w:pPr>
        <w:spacing w:before="240" w:after="240"/>
        <w:rPr>
          <w:lang w:val="el" w:eastAsia="el"/>
        </w:rPr>
      </w:pPr>
      <w:r>
        <w:rPr>
          <w:lang w:val="el" w:eastAsia="el"/>
        </w:rPr>
        <w:t>Ειδικότερα, αναφορικά με τις διελεύσεις οχημάτων με τη χρήση ειδικού πομπού (trans – ponder), με την παράγραφο 1.3 της απόφασης αυτής ορίστηκε ότι:</w:t>
      </w:r>
    </w:p>
    <w:p>
      <w:pPr>
        <w:spacing w:before="240" w:after="240"/>
        <w:rPr>
          <w:lang w:val="el" w:eastAsia="el"/>
        </w:rPr>
      </w:pPr>
      <w:r>
        <w:rPr>
          <w:lang w:val="el" w:eastAsia="el"/>
        </w:rPr>
        <w:t>«1.3. Για το αντίτιμο των διοδίων που εισπράττεται από συνδρομητές, που προκατέβαλαν εγγύηση εφοδιασμού τους με ειδικό πομπό (trans – ponder), ως παραστατικό εσόδου να εκδίδεται μηνιαίος λογαριασμός, κατ’ αναλογίαν των οριζομένων στις διατάξεις του άρθρου 12 παράγραφος 2 του Κ.Β.Σ. (π.δ. 186/1992).</w:t>
      </w:r>
    </w:p>
    <w:p>
      <w:pPr>
        <w:spacing w:before="240" w:after="240"/>
        <w:rPr>
          <w:lang w:val="el" w:eastAsia="el"/>
        </w:rPr>
      </w:pPr>
      <w:r>
        <w:rPr>
          <w:lang w:val="el" w:eastAsia="el"/>
        </w:rPr>
        <w:t>Κατά την παράδοση των πομπών (trans - ponder) στον συνδρομητή, εφαρμόζονται οι διατάξεις του άρθρου 11 του Κ.Β.Σ. (π.δ. 186/1992)».</w:t>
      </w:r>
    </w:p>
    <w:p>
      <w:pPr>
        <w:spacing w:before="240" w:after="240"/>
        <w:rPr>
          <w:lang w:val="el" w:eastAsia="el"/>
        </w:rPr>
      </w:pPr>
      <w:r>
        <w:rPr>
          <w:lang w:val="el" w:eastAsia="el"/>
        </w:rPr>
        <w:t>2. Περαιτέρω, με τις διατάξεις της περίπτωσης γ΄ της παραγράφου 16 του άρθρου 6 του Κ.Φ.Α.Σ., εξομοιώνεται με τιμολόγιο και 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p>
    <w:p>
      <w:pPr>
        <w:spacing w:before="240" w:after="240"/>
        <w:rPr>
          <w:lang w:val="el" w:eastAsia="el"/>
        </w:rPr>
      </w:pPr>
      <w:r>
        <w:rPr>
          <w:lang w:val="el" w:eastAsia="el"/>
        </w:rPr>
        <w:t>3. Τέλος, με τις διατάξεις της παραγράφου 5 του άρθρου 2 του Κ.Φ.Α.Σ., μεταξύ άλλων, ορίζεται ότι,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 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4. Κατόπιν των ανωτέρω, για την εφαρμογή της παραγράφου 1.3. της Α.Υ.Ο. ΠΟΛ. 1114/26.4.2001, αναφορικά με τον τρόπο έκδοσης των φορολογικών στοιχείων, για την είσπραξη του αντιτίμου των διοδίων, με τη χρήση ηλεκτρονικών φορητών πομπών, εφαρμόζονται τα εξής:</w:t>
      </w:r>
    </w:p>
    <w:p>
      <w:pPr>
        <w:pStyle w:val="StructureList1"/>
        <w:spacing w:before="120" w:after="0"/>
        <w:rPr>
          <w:lang w:val="el" w:eastAsia="el"/>
        </w:rPr>
      </w:pPr>
      <w:r>
        <w:rPr>
          <w:lang w:val="el" w:eastAsia="el"/>
        </w:rPr>
        <w:t>α)</w:t>
      </w:r>
      <w:r>
        <w:rPr>
          <w:lang w:val="en" w:eastAsia="en"/>
        </w:rPr>
        <w:tab/>
      </w:r>
      <w:r>
        <w:rPr>
          <w:b/>
          <w:bCs/>
          <w:lang w:val="el" w:eastAsia="el"/>
        </w:rPr>
        <w:t>Για το αντίτιμο των διοδίων, που εισπράττεται για τη διέλευση των οχημάτων από τηλεδιόδια (e-pass, teo-pas), από τους χρήστες των πομπών, υπόχρεους απεικόνισης συναλλαγών, ως παραστατικό εσόδου εκδίδεται μηνιαίος λογαριασμός, κατ’ αναλογίαν των οριζομένων στις διατάξεις του άρθρου 6 παράγραφος 2 του Κ.Φ.Α.Σ..</w:t>
      </w:r>
    </w:p>
    <w:p>
      <w:pPr>
        <w:spacing w:before="240" w:after="240"/>
        <w:rPr>
          <w:lang w:val="el" w:eastAsia="el"/>
        </w:rPr>
      </w:pPr>
      <w:r>
        <w:rPr>
          <w:b/>
          <w:bCs/>
          <w:lang w:val="el" w:eastAsia="el"/>
        </w:rPr>
        <w:t>Ο λογαριασμός αυτός μπορεί να αποστέλλεται στο λήπτη με ηλεκτρονικό τρόπο, κατ’ ανάλογη εφαρμογή της παραγράφου 5 του άρθρου 2 του Κ.Φ.Α.Σ..</w:t>
      </w:r>
    </w:p>
    <w:p>
      <w:pPr>
        <w:pStyle w:val="StructureList1"/>
        <w:spacing w:before="120" w:after="0"/>
        <w:rPr>
          <w:lang w:val="el" w:eastAsia="el"/>
        </w:rPr>
      </w:pPr>
      <w:r>
        <w:rPr>
          <w:b/>
          <w:bCs/>
          <w:lang w:val="el" w:eastAsia="el"/>
        </w:rPr>
        <w:t>β)</w:t>
      </w:r>
      <w:r>
        <w:rPr>
          <w:b/>
          <w:bCs/>
          <w:lang w:val="en" w:eastAsia="en"/>
        </w:rPr>
        <w:tab/>
      </w:r>
      <w:r>
        <w:rPr>
          <w:b/>
          <w:bCs/>
          <w:lang w:val="el" w:eastAsia="el"/>
        </w:rPr>
        <w:t>Εναλλακτικά, αντί της έκδοσης μηνιαίων λογαριασμών, μπορεί να εκδίδεται, απόδειξη λιανικών συναλλαγών, όπως προβλέπεται με τις διατάξεις της περίπτωσης γ΄ της παραγράφου 16 του άρθρου 6 του Κ.Φ.Α.Σ., για συναλλαγές αξίας μέχρι εκατό (100) ευρώ, ανά διέλευση οχήματος, στην οποία μπορεί να καταχωρούνται τα μοναδικά στοιχεία του πομπού που έχει στην κατοχή του ο εκάστοτε χρήστης αυτού (υπόχρεος απεικόνισης συναλλαγών).</w:t>
      </w:r>
    </w:p>
    <w:p>
      <w:pPr>
        <w:spacing w:before="240" w:after="240"/>
        <w:rPr>
          <w:lang w:val="el" w:eastAsia="el"/>
        </w:rPr>
      </w:pPr>
      <w:r>
        <w:rPr>
          <w:b/>
          <w:bCs/>
          <w:lang w:val="el" w:eastAsia="el"/>
        </w:rPr>
        <w:t>Αντίτυπο της κατά τα ανωτέρω εκδιδόμενης απόδειξης λιανικών συναλλαγών, δύναται να αποστέλλεται, ηλεκτρονικά, στον εκάστοτε λήπτη αυτής, υπό τον όρο της αποδοχής από αυτόν του τρόπου αυτού αποστολής, σύμφωνα με τα οριζόμενα με τις διατάξεις της παραγράφου 5 του άρθρου 2 του Κ.Φ.Α.Σ..</w:t>
      </w:r>
    </w:p>
    <w:p>
      <w:pPr>
        <w:spacing w:before="240" w:after="240"/>
        <w:rPr>
          <w:lang w:val="el" w:eastAsia="el"/>
        </w:rPr>
      </w:pPr>
      <w:r>
        <w:rPr>
          <w:b/>
          <w:bCs/>
          <w:lang w:val="el" w:eastAsia="el"/>
        </w:rPr>
        <w:t>5. Τέλος, μετά την κατάργηση των διατάξεων του άρθρου 5 του Κ.Φ.Α.Σ. περί δελτίου αποστολής, από 1.1.2014 και εξής, δεν απαιτείται, πλέον, έκδοση του εγγράφου μη τιμολογηθέντων αποθεμάτων, που προβλέπεται από τις διατάξεις της απόφασης Γ.Γ.Δ.Ε. ΠΟΛ. 1286/ 2014, σε περίπτωση διάθεσης των υπόψη πομπών στους εκάστοτε χρήστες αυτών.</w:t>
      </w:r>
    </w:p>
    <w:p>
      <w:pPr>
        <w:spacing w:before="240" w:after="240"/>
        <w:rPr>
          <w:lang w:val="el" w:eastAsia="el"/>
        </w:rPr>
      </w:pPr>
      <w:r>
        <w:rPr>
          <w:b/>
          <w:bCs/>
          <w:lang w:val="el" w:eastAsia="el"/>
        </w:rPr>
        <w:t xml:space="preserve">. </w:t>
      </w: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2 και 3 )</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Δ/νση Υποστήριξης Ηλεκτρονικά Συναλλασσομένων (e-υπηρεσίες)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StructureList1"/>
        <w:spacing w:before="120" w:after="0"/>
        <w:rPr>
          <w:lang w:val="el" w:eastAsia="el"/>
        </w:rPr>
      </w:pPr>
      <w:r>
        <w:rPr>
          <w:b/>
          <w:bCs/>
          <w:lang w:val="el" w:eastAsia="el"/>
        </w:rPr>
        <w:t>α)</w:t>
      </w:r>
      <w:r>
        <w:rPr>
          <w:b/>
          <w:bCs/>
          <w:lang w:val="en" w:eastAsia="en"/>
        </w:rPr>
        <w:tab/>
      </w:r>
      <w:r>
        <w:rPr>
          <w:b/>
          <w:bCs/>
          <w:lang w:val="el" w:eastAsia="el"/>
        </w:rPr>
        <w:t>Αποδέκτες πίνακα Α΄, Η΄, Θ΄ (μόνο τα 1, 2 και 3), Ι΄, ΙΑ΄, ΙΒ΄, ΙΓ΄, ΙΕ΄, ΙΣΤ΄, ΙΖ΄, ΙΗ΄ ΙΘ΄, Κ΄, ΚΑ΄, ΚΒ΄, ΚΓ΄</w:t>
      </w:r>
    </w:p>
    <w:p>
      <w:pPr>
        <w:pStyle w:val="StructureList1"/>
        <w:spacing w:before="120" w:after="0"/>
        <w:rPr>
          <w:lang w:val="el" w:eastAsia="el"/>
        </w:rPr>
      </w:pPr>
      <w:r>
        <w:rPr>
          <w:b/>
          <w:bCs/>
          <w:lang w:val="el" w:eastAsia="el"/>
        </w:rPr>
        <w:t>β)</w:t>
      </w:r>
      <w:r>
        <w:rPr>
          <w:b/>
          <w:bCs/>
          <w:lang w:val="en" w:eastAsia="en"/>
        </w:rPr>
        <w:tab/>
      </w:r>
      <w:r>
        <w:rPr>
          <w:b/>
          <w:bCs/>
          <w:lang w:val="el" w:eastAsia="el"/>
        </w:rPr>
        <w:t>ΑΤΤΙΚΗ ΟΔΟΣ</w:t>
      </w:r>
    </w:p>
    <w:p>
      <w:pPr>
        <w:spacing w:before="240" w:after="240"/>
        <w:rPr>
          <w:lang w:val="el" w:eastAsia="el"/>
        </w:rPr>
      </w:pPr>
      <w:r>
        <w:rPr>
          <w:b/>
          <w:bCs/>
          <w:lang w:val="el" w:eastAsia="el"/>
        </w:rPr>
        <w:t>41,9 χλμ. Αττικής Οδού</w:t>
      </w:r>
    </w:p>
    <w:p>
      <w:pPr>
        <w:spacing w:before="240" w:after="240"/>
        <w:rPr>
          <w:lang w:val="el" w:eastAsia="el"/>
        </w:rPr>
      </w:pPr>
      <w:r>
        <w:rPr>
          <w:b/>
          <w:bCs/>
          <w:lang w:val="el" w:eastAsia="el"/>
        </w:rPr>
        <w:t>190 02 ΠΑΙΑΝΙΑ Ν. ΑΤΤΙΚΗΣ</w:t>
      </w:r>
    </w:p>
    <w:p>
      <w:pPr>
        <w:pStyle w:val="StructureList1"/>
        <w:spacing w:before="120" w:after="0"/>
        <w:rPr>
          <w:lang w:val="el" w:eastAsia="el"/>
        </w:rPr>
      </w:pPr>
      <w:r>
        <w:rPr>
          <w:b/>
          <w:bCs/>
          <w:lang w:val="el" w:eastAsia="el"/>
        </w:rPr>
        <w:t>γ)</w:t>
      </w:r>
      <w:r>
        <w:rPr>
          <w:b/>
          <w:bCs/>
          <w:lang w:val="en" w:eastAsia="en"/>
        </w:rPr>
        <w:tab/>
      </w:r>
      <w:r>
        <w:rPr>
          <w:b/>
          <w:bCs/>
          <w:lang w:val="el" w:eastAsia="el"/>
        </w:rPr>
        <w:t>ΕΓΝΑΤΙΑ ΟΔΟΣ Α.Ε.</w:t>
      </w:r>
    </w:p>
    <w:p>
      <w:pPr>
        <w:spacing w:before="240" w:after="240"/>
        <w:rPr>
          <w:lang w:val="el" w:eastAsia="el"/>
        </w:rPr>
      </w:pPr>
      <w:r>
        <w:rPr>
          <w:b/>
          <w:bCs/>
          <w:lang w:val="el" w:eastAsia="el"/>
        </w:rPr>
        <w:t>6° χλμ. Θεσσαλονίκης Θέρμης</w:t>
      </w:r>
    </w:p>
    <w:p>
      <w:pPr>
        <w:spacing w:before="240" w:after="240"/>
        <w:rPr>
          <w:lang w:val="el" w:eastAsia="el"/>
        </w:rPr>
      </w:pPr>
      <w:r>
        <w:rPr>
          <w:b/>
          <w:bCs/>
          <w:lang w:val="el" w:eastAsia="el"/>
        </w:rPr>
        <w:t>Τ.Θ. 30, 570 01 Θεσσαλονίκη</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κου Αν/τή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Α΄&amp; Γ΄ (από 5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