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17Η ΔΑΣΜΟΛΟΓΙΚΗ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Ε’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Καρ. Σερβίας 10 101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Μ. Νέγρη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69.87.475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69.87.489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Email : customs.value-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dump@2001.syzefxis.gov.gr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Κωδ. Αρχείου</w:t>
      </w:r>
      <w:r>
        <w:rPr>
          <w:lang w:val="el" w:eastAsia="el"/>
        </w:rPr>
        <w:t xml:space="preserve"> : 301.1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20 Αυγούστου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Αρ. Πρωτ.: </w:t>
      </w:r>
      <w:r>
        <w:rPr>
          <w:b/>
          <w:bCs/>
          <w:lang w:val="el" w:eastAsia="el"/>
        </w:rPr>
        <w:t>Δ17 Ε 5019928 ΕΞ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άμεση ενημέρωση των Τελωνείωναρμοδιότητάς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ΚΟΙΝ: Όπως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«Έναρξη διαδικασίας αντιντάμπινγκ»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ΣΧΕΤ. : </w:t>
      </w:r>
      <w:r>
        <w:rPr>
          <w:lang w:val="el" w:eastAsia="el"/>
        </w:rPr>
        <w:t>Η αριθ. πρωτ. Δ17 Ε 5013134 ΕΞ 2013/04.04.2013 Δ.Υ.Ο.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>Με την Ανακοίνωση αριθ. 05, που δημοσιεύτηκε στην Επίσημη Εφημερίδα της Ε.Ε. (σειρά C 267/14.08.2014), η Επιτροπή ενημερώνει τα Κράτη – Μέλη ότι, αρχίζει έρευνα αντιντάμπινγκ για το ακόλουθο προϊόν, το οποίο επί του παρόντος υπάγεται στους κατωτέρω κωδικούς Σ.Ο.: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6"/>
        <w:gridCol w:w="1594"/>
        <w:gridCol w:w="1996"/>
        <w:gridCol w:w="251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ΠΡΟΪΟΝ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 Σ.Ο.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ΧΩΡΑ ΚΑΤΑΓΩΓΗΣ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ΗΜΕΡΟΜΗΝΙΑ ΕΝΑΡΞΗΣ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λατέα προϊόντα έλασης με προσανατολισμένους κόκκους από πυριτιούχο χάλυβα για ηλεκτρικές εφαρμογές, πάχους άνω των 0,16 mm.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ex 7225 11 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ex 7226 11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Λαϊκή Δημοκρατία της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Κίνας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Ιαπωνία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Δημοκρατία της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Κορέας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Ρωσία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Ηνωμένες Πολιτείες της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Αμερικής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14.08.2014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(C 267/14.08.2014 διαδικασία αντιντάμπινγκ)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εν λόγω κωδικοί ΣΟ παρατίθεται για πληροφοριακούς και μόνο λόγους.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υπενθυμίζουμε ότι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▪ σύμφωνα με το άρθρο 5, παραγρ. 12 του ΚΑΝ (ΕΚ) αριθ. 1225/09 του Συμβουλίου, η διεξαγωγή έρευνας αντιντάμπινγκ, δεν εμποδίζει τις διαδικασίες τελωνισμού,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▪ σύμφωνα με το άρθρο 6, παραγρ. 9 του ΚΑΝ (ΕΚ) αριθ. 1225/09 του Συμβουλίου, η έρευνα αντιντάμπινγκ περατώνεται εντός 15 μηνών από την έναρξη της διαδικασίας,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62ΣΣΗ-ΛΚΠ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▪ σύμφωνα με το άρθρο 7, παραγρ. 1 του ΚΑΝ (ΕΚ) αριθ. 1225/09 του Συμβουλίου, η επιβολή προσωρινών δασμών αντιντάμπινγκ, δεν επιτρέπεται πριν από την πάροδο 60 ημερών και μετά την παρέλευση 9 μηνών, από την έναρξη της διαδικασίας.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Κατόπιν των ανωτέρω παρακαλούνται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 xml:space="preserve">Οι Προϊστάμενοι των Τελωνειακών Περιφερειών για την άμεση ενημέρωση των Τελωνείων δικαιοδοσίας τους </w:t>
      </w:r>
      <w:r>
        <w:rPr>
          <w:lang w:val="el" w:eastAsia="el"/>
        </w:rPr>
        <w:t>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Τα Τελωνεία εισαγωγής να προσθέσουν το αποστελλόμενο φύλλο 4 στον πίνακα προϊόντων για τα οποία διεξάγεται έρευνα αντιντάμπινγκ ή αντεπιδότησης (σχετική Δ.Υ.Ο.).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</w:t>
      </w:r>
      <w:r>
        <w:rPr>
          <w:b/>
          <w:bCs/>
          <w:lang w:val="el" w:eastAsia="el"/>
        </w:rPr>
        <w:t xml:space="preserve"> : </w:t>
      </w:r>
      <w:r>
        <w:rPr>
          <w:lang w:val="el" w:eastAsia="el"/>
        </w:rPr>
        <w:t>σελίδα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ΤΜΗΜΑΤΑΡΧΗΣ Η ΠΡΟΪΣΤΑΜΕΝΗ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Δ/νση Τελωνείων Αττικής ( Τμήμα Δασμο/τέας Αξίας Εμπο/των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Τελωνείων Θεσ/νίκης ( Τμήμα Δασμο/τέας Αξίας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ΕΛ.Υ.Τ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Ο.Π.Σ.Τ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Σ.Δ.Ο.Ε.: Κεντρική Υπηρεσία και Περιφερειακές Δ/νσεις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Επιθεώρησης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Περιφερειακές Οικονομικές Επιθεωρήσεις (έδρες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Ανάπτυξης, Ανταγωνιστικότητας –Γεν. Δ/νση Διεθνούς Οικ. Πολιτικής- Δ/νση Καθεστώτων Εισαγωγών – Εξαγωγών Εμπορικής ΄Αμυνας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Γεν. Χημείο του Κράτους – Δ/νση Χημικοτεχνική Δασμολογίου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Σύνδεσμος Ελλήνων Βιομηχάνων – Ξενοφώντος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Σύνδεσμος Εμπορικών Αντιπροσώπων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Κεντρική ΄Ενωση Επιμελητηρίων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Ομοσπονδία Εκτελωνιστών Ελλάδος – Τσαμαδού 38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Σύλλογος Εκτελωνιστών Αθήνας –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Σύλλογος Εκτελωνιστών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Γεν. Δ/ντη Τελωνείων &amp;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Δ/νσεις : 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33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ΕΦ.Κ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Διεθνών Οικονομικών Σχέσεων - Τμήμα Β΄ : Τελωνειακών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Δασμολογική : </w:t>
      </w: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>Γραφείο Προϊσταμένου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Τμήματα Α΄, Γ΄, Ε΄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ump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