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Αθή Σεπτεμβρίου 2014</w:t>
      </w:r>
    </w:p>
    <w:p>
      <w:pPr>
        <w:pStyle w:val="PreambelText"/>
        <w:spacing w:before="240" w:after="240"/>
        <w:rPr>
          <w:lang w:val="el" w:eastAsia="el"/>
        </w:rPr>
      </w:pPr>
      <w:r>
        <w:rPr>
          <w:lang w:val="el" w:eastAsia="el"/>
        </w:rPr>
        <w:t>Αριθ.Πρωτ:ΠΟΛ. 1204</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ΤΕΛΩΝ &amp; ΕΙΔΙΚΩΝ 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Α. ΔΙΑΚΟΥΜΗ</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ΘΕΜΑ : «Γνωστοποίηση της τιμής ελαιολάδου ελαιοκομικού έτους 2014 - 2015, για την εφαρμογή των διατάξεων της εισφοράς δακοκτονίας».</w:t>
      </w:r>
    </w:p>
    <w:p>
      <w:pPr>
        <w:spacing w:before="240" w:after="240"/>
        <w:rPr>
          <w:lang w:val="el" w:eastAsia="el"/>
        </w:rPr>
      </w:pPr>
      <w:r>
        <w:rPr>
          <w:lang w:val="el" w:eastAsia="el"/>
        </w:rPr>
        <w:t>Με τις διατάξεις του δευτέρου εδαφίου της παρ. 1 του άρθρου 2 του α.ν.112/1967, όπως αυτές αντικαταστάθηκαν με το άρθρο 102 του ν. 1402/1983, η εισφορά δακοκτονίας ορίζεται σε ποσοστό 2% επί της αξίας λαδιού, που παράγεται και υπολογίζεται στη μικρότερη τιμή συγκέντρωσης (παρέμβασης) μεταξύ εκείνων που καθορίζονται για τις ποιότητες των βρώσιμων λαδιών κατά το χρόνο της παραγωγής, δηλαδή στην τιμή παρέμβασης για το κοινό Παρθένο Ελαιόλαδο οξύτητας 2 - 3,3%.</w:t>
      </w:r>
    </w:p>
    <w:p>
      <w:pPr>
        <w:spacing w:before="240" w:after="240"/>
        <w:rPr>
          <w:lang w:val="el" w:eastAsia="el"/>
        </w:rPr>
      </w:pPr>
      <w:r>
        <w:rPr>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spacing w:before="240" w:after="240"/>
        <w:rPr>
          <w:lang w:val="el" w:eastAsia="el"/>
        </w:rPr>
      </w:pPr>
      <w:r>
        <w:rPr>
          <w:lang w:val="el" w:eastAsia="el"/>
        </w:rPr>
        <w:t>Σύμφωνα με το υπ΄ αριθ. 294905/26-7-2006 έγγραφο του Υπουργείου Γεωργίας (νυν Αγροτικής Ανάπτυξης και Τροφίμων) και σε συνέχεια τηλεφωνικής επιβεβαίωσης από τις αρμόδιες υπηρεσίες του Υπουργείου, η τιμή ενεργοποίησης της ιδιωτικής αποθεματοποίησης (πρώην παρέμβασης) της κατηγορίας Lampante (πρώην «παρθένου ελαιολάδου» ή «κοινού παρθένου») με ελεύθερη οξύτητα 2 βαθμών και για το ελαιοκομικό έτος 2014 – 2015 θα είναι 1,524 ευρώ/κιλό, η οποία θα λαμβάνεται υπόψη για τον υπολογισμό της εισφοράς δακοκτονίας του λαδιού.</w:t>
      </w:r>
    </w:p>
    <w:p>
      <w:pPr>
        <w:spacing w:before="240" w:after="240"/>
        <w:rPr>
          <w:lang w:val="el" w:eastAsia="el"/>
        </w:rPr>
      </w:pPr>
      <w:r>
        <w:rPr>
          <w:lang w:val="el" w:eastAsia="el"/>
        </w:rPr>
        <w:t>Στο ανωτέρω ποσό αναλογεί εισφορά δακοκτονίας 1,524 Χ 2% = 0,030 ευρώ.</w:t>
      </w:r>
    </w:p>
    <w:p>
      <w:pPr>
        <w:spacing w:before="240" w:after="240"/>
        <w:rPr>
          <w:lang w:val="el" w:eastAsia="el"/>
        </w:rPr>
      </w:pPr>
      <w:r>
        <w:rPr>
          <w:lang w:val="el" w:eastAsia="el"/>
        </w:rPr>
        <w:t>Αναλυτικές οδηγίες για τον τρόπο υπολογισμού κ.λ.π. της εισφοράς δακοκτονίας έχουν δοθεί με την εγκύκλιο Σ 4309/159/19/1-12-1983.</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ΑΠΟΔΕΚΤΕΣ ΠΙΝΑΚΑ Β΄ εκτός του αριθ. 2 αυτού.</w:t>
      </w:r>
    </w:p>
    <w:p>
      <w:pPr>
        <w:pStyle w:val="StructureList1"/>
        <w:spacing w:before="120" w:after="0"/>
        <w:rPr>
          <w:lang w:val="el" w:eastAsia="el"/>
        </w:rPr>
      </w:pPr>
      <w:r>
        <w:rPr>
          <w:lang w:val="el" w:eastAsia="el"/>
        </w:rPr>
        <w:t>-</w:t>
      </w:r>
      <w:r>
        <w:rPr>
          <w:lang w:val="en" w:eastAsia="en"/>
        </w:rPr>
        <w:tab/>
      </w:r>
      <w:r>
        <w:rPr>
          <w:lang w:val="el" w:eastAsia="el"/>
        </w:rPr>
        <w:t>ΑΠΟΔΕΚΤΕΣ ΠΙΝΑΚΑ ΣΤ΄ εκτός των αριθ. 3, 4, 5, 6, 7 αυτού.</w:t>
      </w:r>
    </w:p>
    <w:p>
      <w:pPr>
        <w:spacing w:before="240" w:after="240"/>
        <w:rPr>
          <w:lang w:val="el" w:eastAsia="el"/>
        </w:rPr>
      </w:pPr>
      <w:r>
        <w:rPr>
          <w:b/>
          <w:bCs/>
          <w:u w:val="single"/>
          <w:lang w:val="el" w:eastAsia="el"/>
        </w:rPr>
        <w:t>ΙΙ. 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Αποκεντρωμένες Διοικήσεις ( με την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τους αρμοδιότητας</w:t>
      </w:r>
    </w:p>
    <w:p>
      <w:pPr>
        <w:pStyle w:val="StructureList1"/>
        <w:spacing w:before="120" w:after="0"/>
        <w:rPr>
          <w:lang w:val="el" w:eastAsia="el"/>
        </w:rPr>
      </w:pPr>
      <w:r>
        <w:rPr>
          <w:lang w:val="el" w:eastAsia="el"/>
        </w:rPr>
        <w:t>-</w:t>
      </w:r>
      <w:r>
        <w:rPr>
          <w:lang w:val="en" w:eastAsia="en"/>
        </w:rPr>
        <w:tab/>
      </w:r>
      <w:r>
        <w:rPr>
          <w:lang w:val="el" w:eastAsia="el"/>
        </w:rPr>
        <w:t>Υπουργείο Αγροτικής Ανάπτυξης και Τροφίμων</w:t>
      </w:r>
    </w:p>
    <w:p>
      <w:pPr>
        <w:spacing w:before="240" w:after="240"/>
        <w:rPr>
          <w:lang w:val="el" w:eastAsia="el"/>
        </w:rPr>
      </w:pPr>
      <w:r>
        <w:rPr>
          <w:lang w:val="el" w:eastAsia="el"/>
        </w:rPr>
        <w:t>Γενική Δ/νση Φυτικής Παραγωγής</w:t>
      </w:r>
    </w:p>
    <w:p>
      <w:pPr>
        <w:spacing w:before="240" w:after="240"/>
        <w:rPr>
          <w:lang w:val="el" w:eastAsia="el"/>
        </w:rPr>
      </w:pPr>
      <w:r>
        <w:rPr>
          <w:lang w:val="el" w:eastAsia="el"/>
        </w:rPr>
        <w:t>Δ/νση Προστασίας Φυτικής Παραγωγής</w:t>
      </w:r>
    </w:p>
    <w:p>
      <w:pPr>
        <w:spacing w:before="240" w:after="240"/>
        <w:rPr>
          <w:lang w:val="el" w:eastAsia="el"/>
        </w:rPr>
      </w:pPr>
      <w:r>
        <w:rPr>
          <w:lang w:val="el" w:eastAsia="el"/>
        </w:rPr>
        <w:t>Συγγρού 150 - Τ.Κ. 176 71 – ΑΘΗΝΑ</w:t>
      </w:r>
    </w:p>
    <w:p>
      <w:pPr>
        <w:pStyle w:val="StructureList1"/>
        <w:spacing w:before="120" w:after="0"/>
        <w:rPr>
          <w:lang w:val="el" w:eastAsia="el"/>
        </w:rPr>
      </w:pPr>
      <w:r>
        <w:rPr>
          <w:lang w:val="el" w:eastAsia="el"/>
        </w:rPr>
        <w:t>-</w:t>
      </w:r>
      <w:r>
        <w:rPr>
          <w:lang w:val="en" w:eastAsia="en"/>
        </w:rPr>
        <w:tab/>
      </w:r>
      <w:r>
        <w:rPr>
          <w:lang w:val="el" w:eastAsia="el"/>
        </w:rPr>
        <w:t>ΑΠΟΔΕΚΤΕΣ ΠΙΝΑΚΑ ΙE΄</w:t>
      </w:r>
    </w:p>
    <w:p>
      <w:pPr>
        <w:spacing w:before="240" w:after="240"/>
        <w:rPr>
          <w:lang w:val="el" w:eastAsia="el"/>
        </w:rPr>
      </w:pPr>
      <w:r>
        <w:rPr>
          <w:lang w:val="el" w:eastAsia="el"/>
        </w:rPr>
        <w:t>(Συνδικαλιστικές, Αγροτικές Ενώσεις και Συνεταιρισμοί)</w:t>
      </w:r>
    </w:p>
    <w:p>
      <w:pPr>
        <w:pStyle w:val="StructureList1"/>
        <w:spacing w:before="120" w:after="0"/>
        <w:rPr>
          <w:lang w:val="el" w:eastAsia="el"/>
        </w:rPr>
      </w:pPr>
      <w:r>
        <w:rPr>
          <w:lang w:val="el" w:eastAsia="el"/>
        </w:rPr>
        <w:t>-</w:t>
      </w:r>
      <w:r>
        <w:rPr>
          <w:lang w:val="en" w:eastAsia="en"/>
        </w:rPr>
        <w:tab/>
      </w:r>
      <w:r>
        <w:rPr>
          <w:lang w:val="el" w:eastAsia="el"/>
        </w:rPr>
        <w:t>Κεντρική Ένωση Επιμελητηρίων</w:t>
      </w:r>
    </w:p>
    <w:p>
      <w:pPr>
        <w:spacing w:before="240" w:after="240"/>
        <w:rPr>
          <w:lang w:val="el" w:eastAsia="el"/>
        </w:rPr>
      </w:pPr>
      <w:r>
        <w:rPr>
          <w:lang w:val="el" w:eastAsia="el"/>
        </w:rPr>
        <w:t>(με παράκληση να μοιραστεί στα εμπορικά επιμελητήρια)</w:t>
      </w:r>
    </w:p>
    <w:p>
      <w:pPr>
        <w:pStyle w:val="StructureList1"/>
        <w:spacing w:before="120" w:after="0"/>
        <w:rPr>
          <w:lang w:val="el" w:eastAsia="el"/>
        </w:rPr>
      </w:pPr>
      <w:r>
        <w:rPr>
          <w:lang w:val="el" w:eastAsia="el"/>
        </w:rPr>
        <w:t>-</w:t>
      </w:r>
      <w:r>
        <w:rPr>
          <w:lang w:val="en" w:eastAsia="en"/>
        </w:rPr>
        <w:tab/>
      </w:r>
      <w:r>
        <w:rPr>
          <w:lang w:val="el" w:eastAsia="el"/>
        </w:rPr>
        <w:t>Κεντρική Συνεταιριστική ΄Ενωση Παραγωγών Ελαιοκομικών Προϊόντων</w:t>
      </w:r>
    </w:p>
    <w:p>
      <w:pPr>
        <w:spacing w:before="240" w:after="240"/>
        <w:rPr>
          <w:lang w:val="el" w:eastAsia="el"/>
        </w:rPr>
      </w:pPr>
      <w:r>
        <w:rPr>
          <w:lang w:val="el" w:eastAsia="el"/>
        </w:rPr>
        <w:t>Ελαιουργική ΚΣΕΠΕΠ</w:t>
      </w:r>
    </w:p>
    <w:p>
      <w:pPr>
        <w:spacing w:before="240" w:after="240"/>
        <w:rPr>
          <w:lang w:val="el" w:eastAsia="el"/>
        </w:rPr>
      </w:pPr>
      <w:r>
        <w:rPr>
          <w:lang w:val="el" w:eastAsia="el"/>
        </w:rPr>
        <w:t>Πειραιώς 37-39 - Τ.Κ.105 53 - ΑΘΗΝΑ</w:t>
      </w:r>
    </w:p>
    <w:p>
      <w:pPr>
        <w:pStyle w:val="StructureList1"/>
        <w:spacing w:before="120" w:after="0"/>
        <w:rPr>
          <w:lang w:val="el" w:eastAsia="el"/>
        </w:rPr>
      </w:pPr>
      <w:r>
        <w:rPr>
          <w:lang w:val="el" w:eastAsia="el"/>
        </w:rPr>
        <w:t>-</w:t>
      </w:r>
      <w:r>
        <w:rPr>
          <w:lang w:val="en" w:eastAsia="en"/>
        </w:rPr>
        <w:tab/>
      </w:r>
      <w:r>
        <w:rPr>
          <w:lang w:val="el" w:eastAsia="el"/>
        </w:rPr>
        <w:t>Σύλλογο Εμπόρων Βρωσίμων Ελαιών (Αθηνών - Πειραιώς)</w:t>
      </w:r>
    </w:p>
    <w:p>
      <w:pPr>
        <w:spacing w:before="240" w:after="240"/>
        <w:rPr>
          <w:lang w:val="el" w:eastAsia="el"/>
        </w:rPr>
      </w:pPr>
      <w:r>
        <w:rPr>
          <w:lang w:val="el" w:eastAsia="el"/>
        </w:rPr>
        <w:t>Αριστοφάνους 17 - Τ.Κ. 105 54 - ΑΘΗΝΑ</w:t>
      </w:r>
    </w:p>
    <w:p>
      <w:pPr>
        <w:pStyle w:val="StructureList1"/>
        <w:spacing w:before="120" w:after="0"/>
        <w:rPr>
          <w:lang w:val="el" w:eastAsia="el"/>
        </w:rPr>
      </w:pPr>
      <w:r>
        <w:rPr>
          <w:lang w:val="el" w:eastAsia="el"/>
        </w:rPr>
        <w:t>-</w:t>
      </w:r>
      <w:r>
        <w:rPr>
          <w:lang w:val="en" w:eastAsia="en"/>
        </w:rPr>
        <w:tab/>
      </w:r>
      <w:r>
        <w:rPr>
          <w:lang w:val="el" w:eastAsia="el"/>
        </w:rPr>
        <w:t>Ομοσπονδία Ελλ. Ελαιουργείων</w:t>
      </w:r>
    </w:p>
    <w:p>
      <w:pPr>
        <w:spacing w:before="240" w:after="240"/>
        <w:rPr>
          <w:lang w:val="el" w:eastAsia="el"/>
        </w:rPr>
      </w:pPr>
      <w:r>
        <w:rPr>
          <w:lang w:val="el" w:eastAsia="el"/>
        </w:rPr>
        <w:t>Αχαρνών 41 - Τ.Κ. 104 39 - ΑΘΗΝΑ</w:t>
      </w:r>
    </w:p>
    <w:p>
      <w:pPr>
        <w:pStyle w:val="StructureList1"/>
        <w:spacing w:before="120" w:after="0"/>
        <w:rPr>
          <w:lang w:val="el" w:eastAsia="el"/>
        </w:rPr>
      </w:pPr>
      <w:r>
        <w:rPr>
          <w:lang w:val="el" w:eastAsia="el"/>
        </w:rPr>
        <w:t>-</w:t>
      </w:r>
      <w:r>
        <w:rPr>
          <w:lang w:val="en" w:eastAsia="en"/>
        </w:rPr>
        <w:tab/>
      </w:r>
      <w:r>
        <w:rPr>
          <w:lang w:val="el" w:eastAsia="el"/>
        </w:rPr>
        <w:t>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 ΑΘΗΝΑ</w:t>
      </w:r>
    </w:p>
    <w:p>
      <w:pPr>
        <w:spacing w:before="240" w:after="240"/>
        <w:rPr>
          <w:lang w:val="el" w:eastAsia="el"/>
        </w:rPr>
      </w:pPr>
      <w:r>
        <w:rPr>
          <w:b/>
          <w:bCs/>
          <w:u w:val="single"/>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Υπουργού</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Γενικής Γραμματέως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 Γραμματέα Γ.Γ.Π.Σ</w:t>
      </w:r>
    </w:p>
    <w:p>
      <w:pPr>
        <w:pStyle w:val="StructureList1"/>
        <w:spacing w:before="120" w:after="0"/>
        <w:rPr>
          <w:lang w:val="el" w:eastAsia="el"/>
        </w:rPr>
      </w:pPr>
      <w:r>
        <w:rPr>
          <w:lang w:val="el" w:eastAsia="el"/>
        </w:rPr>
        <w:t>-</w:t>
      </w:r>
      <w:r>
        <w:rPr>
          <w:lang w:val="en" w:eastAsia="en"/>
        </w:rPr>
        <w:tab/>
      </w:r>
      <w:r>
        <w:rPr>
          <w:lang w:val="el" w:eastAsia="el"/>
        </w:rPr>
        <w:t>Γραφείο Γενικού Διευθυντή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Όλες τις Φορολογικές Διευθύνσεις</w:t>
      </w:r>
    </w:p>
    <w:p>
      <w:pPr>
        <w:pStyle w:val="StructureList1"/>
        <w:spacing w:before="120" w:after="0"/>
        <w:rPr>
          <w:lang w:val="el" w:eastAsia="el"/>
        </w:rPr>
      </w:pPr>
      <w:r>
        <w:rPr>
          <w:lang w:val="el" w:eastAsia="el"/>
        </w:rPr>
        <w:t>-</w:t>
      </w:r>
      <w:r>
        <w:rPr>
          <w:lang w:val="en" w:eastAsia="en"/>
        </w:rPr>
        <w:tab/>
      </w:r>
      <w:r>
        <w:rPr>
          <w:lang w:val="el" w:eastAsia="el"/>
        </w:rPr>
        <w:t>Γραφείο Τύπου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Γραφείο Επικοινωνίας και Πληροφόρησης Πολιτών</w:t>
      </w:r>
    </w:p>
    <w:p>
      <w:pPr>
        <w:pStyle w:val="StructureList1"/>
        <w:spacing w:before="120" w:after="0"/>
        <w:rPr>
          <w:lang w:val="el" w:eastAsia="el"/>
        </w:rPr>
      </w:pPr>
      <w:r>
        <w:rPr>
          <w:lang w:val="el" w:eastAsia="el"/>
        </w:rPr>
        <w:t>-</w:t>
      </w:r>
      <w:r>
        <w:rPr>
          <w:lang w:val="en" w:eastAsia="en"/>
        </w:rPr>
        <w:tab/>
      </w:r>
      <w:r>
        <w:rPr>
          <w:lang w:val="el" w:eastAsia="el"/>
        </w:rPr>
        <w:t>Δ/νση Τελών &amp; Ειδ. Φορολογιών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