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u w:val="single"/>
          <w:lang w:val="el" w:eastAsia="el"/>
        </w:rPr>
        <w:t>ΕΞ. ΕΠΕΙΓΟΥΣΑ</w:t>
      </w:r>
    </w:p>
    <w:p>
      <w:pPr>
        <w:spacing w:before="240"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ΦΟΡΟΛΟΓΙΑΣ ΕΙΣΟΔ/ΤΟΣ (Δ12)</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Σ. Ρηγοπούλου, Δ. Βελισσαράκου</w:t>
      </w:r>
    </w:p>
    <w:p>
      <w:pPr>
        <w:spacing w:before="240" w:after="240"/>
        <w:rPr>
          <w:lang w:val="el" w:eastAsia="el"/>
        </w:rPr>
      </w:pPr>
      <w:r>
        <w:rPr>
          <w:b/>
          <w:bCs/>
          <w:lang w:val="el" w:eastAsia="el"/>
        </w:rPr>
        <w:t xml:space="preserve">Τηλέφωνο: </w:t>
      </w:r>
      <w:r>
        <w:rPr>
          <w:lang w:val="el" w:eastAsia="el"/>
        </w:rPr>
        <w:t>210 – 3375317-318, 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Κοινοποίηση των διατάξεων της περίπτωσης β΄ του άρθρου 23 του ν.4172/2013.</w:t>
      </w:r>
    </w:p>
    <w:p>
      <w:pPr>
        <w:spacing w:before="240" w:after="240"/>
        <w:rPr>
          <w:lang w:val="el" w:eastAsia="el"/>
        </w:rPr>
      </w:pPr>
      <w:r>
        <w:rPr>
          <w:lang w:val="el" w:eastAsia="el"/>
        </w:rPr>
        <w:t>Σας κοινοποιούμε τις διατάξεις της περίπτωσης β΄ του άρθρου 23 του ν.4172/2013 (ΦΕΚ 167Α΄), σχετικά με την έκπτωση ή μη κάθε είδους δαπάνης που αφορά σε αγορά αγαθών ή λήψη υπηρεσιών αξίας άνω των 500 ευρώ, εφόσον η τμηματική ή ολική εξόφλησή τους δεν έγινε με τη χρήση τραπεζικού μέσου πληρωμής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του άρθρου 23 του ν. 4172/2013 καθορίζονται οι μη εκπιπτόμενες δαπάνες από τα ακαθάριστα έσοδα των φυσικών προσώπων που ασκούν επιχειρηματική δραστηριότητα (ατομικές επιχειρήσεις), καθώς και των νομικών προσώπων και νομικών οντοτήτων.</w:t>
      </w:r>
    </w:p>
    <w:p>
      <w:pPr>
        <w:spacing w:before="240" w:after="240"/>
        <w:rPr>
          <w:lang w:val="el" w:eastAsia="el"/>
        </w:rPr>
      </w:pPr>
      <w:r>
        <w:rPr>
          <w:lang w:val="el" w:eastAsia="el"/>
        </w:rPr>
        <w:t xml:space="preserve">2. Ειδικότερα, με την περίπτωση β΄ του ως άνω άρθρου ορίζεται ότι δεν εκπίπτει κάθε είδους </w:t>
      </w:r>
      <w:r>
        <w:rPr>
          <w:b/>
          <w:bCs/>
          <w:lang w:val="el" w:eastAsia="el"/>
        </w:rPr>
        <w:t xml:space="preserve">δαπάνη </w:t>
      </w:r>
      <w:r>
        <w:rPr>
          <w:lang w:val="el" w:eastAsia="el"/>
        </w:rPr>
        <w:t xml:space="preserve">που αφορά σε αγορά αγαθών ή λήψη υπηρεσιών αξίας </w:t>
      </w:r>
      <w:r>
        <w:rPr>
          <w:b/>
          <w:bCs/>
          <w:lang w:val="el" w:eastAsia="el"/>
        </w:rPr>
        <w:t>άνω των €500</w:t>
      </w:r>
      <w:r>
        <w:rPr>
          <w:lang w:val="el" w:eastAsia="el"/>
        </w:rPr>
        <w:t>, από την ημεδαπή ή την αλλοδαπή,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 xml:space="preserve">Για την εφαρμογή της περίπτωσης αυτής, στην έννοια της αγοράς των αγαθών και της λήψης των υπηρεσιών </w:t>
      </w:r>
      <w:r>
        <w:rPr>
          <w:u w:val="single"/>
          <w:lang w:val="el" w:eastAsia="el"/>
        </w:rPr>
        <w:t>εμπίπτουν</w:t>
      </w:r>
      <w:r>
        <w:rPr>
          <w:lang w:val="el" w:eastAsia="el"/>
        </w:rPr>
        <w:t xml:space="preserve"> οι αγορές πρώτων και βοηθητικών υλών, εμπορευμάτων, υλικών, παγίων, κ.λπ., οι πάσης φύσεως δαπάνες της επιχείρησης καθώς και οι πάσης φύσεως υπηρεσίες που λαμβάνει η επιχείρηση, με την προϋπόθεση ότι πληρούνται οι προϋποθέσεις του άρθρου 22 του ν.4172/2013 και δεν εμπίπτουν σε κάποια από τις λοιπές περιπτώσεις του παρόντος άρθρου.</w:t>
      </w:r>
    </w:p>
    <w:p>
      <w:pPr>
        <w:spacing w:before="240" w:after="240"/>
        <w:rPr>
          <w:lang w:val="el" w:eastAsia="el"/>
        </w:rPr>
      </w:pPr>
      <w:r>
        <w:rPr>
          <w:lang w:val="el" w:eastAsia="el"/>
        </w:rPr>
        <w:t>Η μη εξόφληση των ως άνω δαπανών με τη χρήση τραπεζικού μέσου πληρωμής δεν συνιστά, από μόνη της, εικονικότητα ως προς τη συναλλαγή και δεν έχει ως αποτέλεσμα τον προσδιορισμό του εισοδήματος σύμφωνα με τις διατάξεις του άρθρου 28 του ιδίου νόμου, εφόσον δεν συντρέχουν και άλλοι λόγοι.</w:t>
      </w:r>
    </w:p>
    <w:p>
      <w:pPr>
        <w:spacing w:before="240" w:after="240"/>
        <w:rPr>
          <w:lang w:val="el" w:eastAsia="el"/>
        </w:rPr>
      </w:pPr>
      <w:r>
        <w:rPr>
          <w:lang w:val="el" w:eastAsia="el"/>
        </w:rPr>
        <w:t>3. Διευκρινίζεται ότι η προϋπόθεση της περίπτωσης αυτής (εξόφληση με τη χρήση τραπεζικού μέσου πληρωμής) δεν απαιτείται για τις παρακάτω κατηγορίες δαπανών :</w:t>
      </w:r>
    </w:p>
    <w:p>
      <w:pPr>
        <w:spacing w:before="240" w:after="240"/>
        <w:rPr>
          <w:lang w:val="el" w:eastAsia="el"/>
        </w:rPr>
      </w:pPr>
      <w:r>
        <w:rPr>
          <w:lang w:val="el" w:eastAsia="el"/>
        </w:rPr>
        <w:t>α. Mισθούς, ημερομίσθια προσωπικού, απολαβές διευθυντών ή μελών του ΔΣ εταιρείας ή κάθε άλλου νομικού προσώπου ή νομικής οντότητας, έκτακτες αμοιβές προσωπικού, αμοιβές καταβαλλόμενες σε υπαλλήλους πέραν των συμβατικών ή νομίμων, πάγια μηνιαία αποζημίωση η οποία συνιστά συγκεκαλλυμένη επαύξηση μισθού, που χορηγούνται από τον εργοδότη στον εργαζόμενο, καθόσον οι ανωτέρω δαπάνες δεν αφορούν στη λήψη υπηρεσιών αλλά στην παροχή μισθωτής εργασίας.</w:t>
      </w:r>
    </w:p>
    <w:p>
      <w:pPr>
        <w:spacing w:before="240" w:after="240"/>
        <w:rPr>
          <w:lang w:val="el" w:eastAsia="el"/>
        </w:rPr>
      </w:pPr>
      <w:r>
        <w:rPr>
          <w:lang w:val="el" w:eastAsia="el"/>
        </w:rPr>
        <w:t>β. Μισθώματα ακινήτων, καθότι δεν πρόκειται για λήψη υπηρεσιών αλλά για χρήση μισθίου (εισόδημα από κεφάλαιο για τον εκμισθωτή, σχετ. άρθρο 39 ν.4172/2013).</w:t>
      </w:r>
    </w:p>
    <w:p>
      <w:pPr>
        <w:spacing w:before="240" w:after="240"/>
        <w:rPr>
          <w:lang w:val="el" w:eastAsia="el"/>
        </w:rPr>
      </w:pPr>
      <w:r>
        <w:rPr>
          <w:lang w:val="el" w:eastAsia="el"/>
        </w:rPr>
        <w:t>γ. Τόκους και συναφή έξοδα, καθόσον δεν εμπεριέχουν τα εννοιολογικά χαρακτηριστικά της παροχής υπηρεσίας.</w:t>
      </w:r>
    </w:p>
    <w:p>
      <w:pPr>
        <w:spacing w:before="240" w:after="240"/>
        <w:rPr>
          <w:lang w:val="el" w:eastAsia="el"/>
        </w:rPr>
      </w:pPr>
      <w:r>
        <w:rPr>
          <w:lang w:val="el" w:eastAsia="el"/>
        </w:rPr>
        <w:t>Ως αξία συναλλαγής λαμβάνεται υπόψη το καθαρό ποσό της αξίας της συναλλαγής, προ ΦΠΑ.</w:t>
      </w:r>
    </w:p>
    <w:p>
      <w:pPr>
        <w:spacing w:before="240" w:after="240"/>
        <w:rPr>
          <w:lang w:val="el" w:eastAsia="el"/>
        </w:rPr>
      </w:pPr>
      <w:r>
        <w:rPr>
          <w:lang w:val="el" w:eastAsia="el"/>
        </w:rPr>
        <w:t>4. Ως τραπεζικό μέσο πληρωμής, προκειμένου για την εφαρμογή των κοινοποιούμενων διατάξεων, νοείται:</w:t>
      </w:r>
    </w:p>
    <w:p>
      <w:pPr>
        <w:pStyle w:val="StructureList1"/>
        <w:spacing w:before="120" w:after="0"/>
        <w:rPr>
          <w:lang w:val="el" w:eastAsia="el"/>
        </w:rPr>
      </w:pPr>
      <w:r>
        <w:rPr>
          <w:lang w:val="el" w:eastAsia="el"/>
        </w:rPr>
        <w:t>-</w:t>
      </w:r>
      <w:r>
        <w:rPr>
          <w:lang w:val="en" w:eastAsia="en"/>
        </w:rPr>
        <w:tab/>
      </w:r>
      <w:r>
        <w:rPr>
          <w:lang w:val="el" w:eastAsia="el"/>
        </w:rPr>
        <w:t>Η κατάθεση σε τραπεζικό λογαριασμό του προμηθευτή, είτε με μετρητά είτε με μεταφορά μεταξύ λογαριασμών (έμβασμα),</w:t>
      </w:r>
    </w:p>
    <w:p>
      <w:pPr>
        <w:pStyle w:val="StructureList1"/>
        <w:spacing w:before="120" w:after="0"/>
        <w:rPr>
          <w:lang w:val="el" w:eastAsia="el"/>
        </w:rPr>
      </w:pPr>
      <w:r>
        <w:rPr>
          <w:lang w:val="el" w:eastAsia="el"/>
        </w:rPr>
        <w:t>-</w:t>
      </w:r>
      <w:r>
        <w:rPr>
          <w:lang w:val="en" w:eastAsia="en"/>
        </w:rPr>
        <w:tab/>
      </w:r>
      <w:r>
        <w:rPr>
          <w:lang w:val="el" w:eastAsia="el"/>
        </w:rPr>
        <w:t>Η χρήση χρεωστικών ή πιστωτικών καρτών της εταιρείας που πραγματοποιεί την πληρωμή,</w:t>
      </w:r>
    </w:p>
    <w:p>
      <w:pPr>
        <w:pStyle w:val="StructureList1"/>
        <w:spacing w:before="120" w:after="0"/>
        <w:rPr>
          <w:lang w:val="el" w:eastAsia="el"/>
        </w:rPr>
      </w:pPr>
      <w:r>
        <w:rPr>
          <w:lang w:val="el" w:eastAsia="el"/>
        </w:rPr>
        <w:t>-</w:t>
      </w:r>
      <w:r>
        <w:rPr>
          <w:lang w:val="en" w:eastAsia="en"/>
        </w:rPr>
        <w:tab/>
      </w:r>
      <w:r>
        <w:rPr>
          <w:lang w:val="el" w:eastAsia="el"/>
        </w:rPr>
        <w:t>Η έκδοση τραπεζικής επιταγής της επιχείρησης ή η εκχώρηση επιταγών τρίτων,</w:t>
      </w:r>
    </w:p>
    <w:p>
      <w:pPr>
        <w:pStyle w:val="StructureList1"/>
        <w:spacing w:before="120" w:after="0"/>
        <w:rPr>
          <w:lang w:val="el" w:eastAsia="el"/>
        </w:rPr>
      </w:pPr>
      <w:r>
        <w:rPr>
          <w:lang w:val="el" w:eastAsia="el"/>
        </w:rPr>
        <w:t>-</w:t>
      </w:r>
      <w:r>
        <w:rPr>
          <w:lang w:val="en" w:eastAsia="en"/>
        </w:rPr>
        <w:tab/>
      </w:r>
      <w:r>
        <w:rPr>
          <w:lang w:val="el" w:eastAsia="el"/>
        </w:rPr>
        <w:t>Η χρήση συναλλαγματικών οι οποίες εξοφλούνται μέσω τραπέζης,</w:t>
      </w:r>
    </w:p>
    <w:p>
      <w:pPr>
        <w:pStyle w:val="StructureList1"/>
        <w:spacing w:before="120" w:after="0"/>
        <w:rPr>
          <w:lang w:val="el" w:eastAsia="el"/>
        </w:rPr>
      </w:pPr>
      <w:r>
        <w:rPr>
          <w:lang w:val="el" w:eastAsia="el"/>
        </w:rPr>
        <w:t>-</w:t>
      </w:r>
      <w:r>
        <w:rPr>
          <w:lang w:val="en" w:eastAsia="en"/>
        </w:rPr>
        <w:tab/>
      </w:r>
      <w:r>
        <w:rPr>
          <w:lang w:val="el" w:eastAsia="el"/>
        </w:rPr>
        <w:t>Η χρήση ταχυδρομικής επιταγής – ταχυπληρωμής ή η κατάθεση σε λογαριασμό πληρωμών των Ελληνικών Ταχυδρομείων.</w:t>
      </w:r>
    </w:p>
    <w:p>
      <w:pPr>
        <w:spacing w:before="240" w:after="240"/>
        <w:rPr>
          <w:lang w:val="el" w:eastAsia="el"/>
        </w:rPr>
      </w:pPr>
      <w:r>
        <w:rPr>
          <w:lang w:val="el" w:eastAsia="el"/>
        </w:rPr>
        <w:t xml:space="preserve">5. Σε περίπτωση που καταβάλλονται </w:t>
      </w:r>
      <w:r>
        <w:rPr>
          <w:b/>
          <w:bCs/>
          <w:lang w:val="el" w:eastAsia="el"/>
        </w:rPr>
        <w:t xml:space="preserve">προκαταβολές </w:t>
      </w:r>
      <w:r>
        <w:rPr>
          <w:lang w:val="el" w:eastAsia="el"/>
        </w:rPr>
        <w:t>έναντι της αξίας του προς αγορά αγαθού ή υπηρεσίας ή όταν πραγματοποιούνται τμηματικές καταβολές που αφορούν συναλλαγές συνολικού ύψους άνω των €500, απαιτείται η χρήση τραπεζικού μέσου, ανεξαρτήτως του ποσού της κάθε τμηματικής καταβολής ή προκαταβολής.</w:t>
      </w:r>
    </w:p>
    <w:p>
      <w:pPr>
        <w:spacing w:before="240" w:after="240"/>
        <w:rPr>
          <w:lang w:val="el" w:eastAsia="el"/>
        </w:rPr>
      </w:pPr>
      <w:r>
        <w:rPr>
          <w:lang w:val="el" w:eastAsia="el"/>
        </w:rPr>
        <w:t>6. Σε περίπτωση που οι αντισυμβαλλόμενοι είναι ταυτόχρονα προμηθευτές και πελάτες, επιτρέπεται να προβούν σε εκατέρωθεν λογιστικούς συμψηφισμούς, εφόσον αυτό δεν αντιβαίνει σε διατάξεις άλλων νόμων. Όταν η διαφορά που απομένει μετά τον συμψηφισμό είναι μεγαλύτερη των 500 ευρώ, τότε για να αναγνωρισθεί το σύνολο των αγορών απαιτείται η εξόφλησή της με τραπεζικό μέσο πληρωμής. Τα ίδια ισχύουν και στην περίπτωση πώλησης αγαθών μεταξύ υπόχρεων απεικόνισης συναλλαγών με «ανταλλαγή».</w:t>
      </w:r>
    </w:p>
    <w:p>
      <w:pPr>
        <w:spacing w:before="240" w:after="240"/>
        <w:rPr>
          <w:lang w:val="el" w:eastAsia="el"/>
        </w:rPr>
      </w:pPr>
      <w:r>
        <w:rPr>
          <w:lang w:val="el" w:eastAsia="el"/>
        </w:rPr>
        <w:t>7. Επίσης, διευκρινίζεται ότι με τραπεζικό μέσο πληρωμής αποκλειστικά και μόνο εξοφλούνται, μερικά ή ολικά και οι συναλλαγές αξίας άνω των €500, στις περιπτώσεις πώλησης αγαθών ή παροχής υπηρεσιών για λογαριασμό τρίτου. Δηλαδή, ο αντιπρόσωπος – εντολοδόχος πρέπει να πληρωθεί με τραπεζικό μέσο πληρωμής και να αποδώσει το προϊόν της πώλησης (ποσό) στον εντολέα του, εφόσον προκύπτει αξία άνω των €500 ανά εκκαθάριση μετά την αφαίρεση από αυτόν της προμήθειας που δικαιούται, με τη χρήση τραπεζικού μέσου πληρωμής.</w:t>
      </w:r>
    </w:p>
    <w:p>
      <w:pPr>
        <w:spacing w:before="240" w:after="240"/>
        <w:rPr>
          <w:lang w:val="el" w:eastAsia="el"/>
        </w:rPr>
      </w:pPr>
      <w:r>
        <w:rPr>
          <w:lang w:val="el" w:eastAsia="el"/>
        </w:rPr>
        <w:t xml:space="preserve">8. Σε περιπτώσεις συναλλαγών, που διενεργούνται σε ημέρες και ώρες μη λειτουργίας των τραπεζών ή που για αντικειμενικούς λόγους </w:t>
      </w:r>
      <w:r>
        <w:rPr>
          <w:b/>
          <w:bCs/>
          <w:lang w:val="el" w:eastAsia="el"/>
        </w:rPr>
        <w:t xml:space="preserve">δεν είναι δυνατή η εξόφληση με τη χρήση τραπεζικού μέσου πληρωμής </w:t>
      </w:r>
      <w:r>
        <w:rPr>
          <w:lang w:val="el" w:eastAsia="el"/>
        </w:rPr>
        <w:t>και καταβάλλονται σε μετρητά ή παραδίδονται συναλλαγματικές οι οποίες εξοφλούνται εκτός τραπεζικού συστήματος, προκειμένου η δαπάνη να αναγνωρισθεί φορολογικά από τα ακαθάριστα έσοδα της επιχείρησης, η εταιρεία που παρέχει την υπηρεσία ή πουλάει τα αγαθά, υποχρεούται να καταθέσει εντός δύο (2) εργάσιμων ημερών από την έκδοση του παραστατικού (απόδειξη είσπραξης μετρητών ή παραλαβής συναλλαγματικών εκτός τραπεζικού συστήματος) σε τραπεζικό λογαριασμό που τηρεί σε οποιαδήποτε αναγνωρισμένη τράπεζα ή πιστωτικό οργανισμό το ποσό των μετρητών που εισέπραξε. Ο λόγος της αδυναμίας εξόφλησης με τη χρήση τραπεζικού μέσου πληρωμής πρέπει να αναγράφεται πάνω στο σώμα του στοιχείου του ΚΦΑΣ και να αποδεικνύεται με οποιοδήποτε πρόσφορο μέσο.</w:t>
      </w:r>
    </w:p>
    <w:p>
      <w:pPr>
        <w:spacing w:before="240" w:after="240"/>
        <w:rPr>
          <w:lang w:val="el" w:eastAsia="el"/>
        </w:rPr>
      </w:pPr>
      <w:r>
        <w:rPr>
          <w:lang w:val="el" w:eastAsia="el"/>
        </w:rPr>
        <w:t xml:space="preserve">9. Σε περίπτωση αγοράς εμπορευμάτων με τη μέθοδο της αντικαταβολής- υπηρεσίες </w:t>
      </w:r>
      <w:r>
        <w:rPr>
          <w:b/>
          <w:bCs/>
          <w:lang w:val="el" w:eastAsia="el"/>
        </w:rPr>
        <w:t>courier</w:t>
      </w:r>
      <w:r>
        <w:rPr>
          <w:lang w:val="el" w:eastAsia="el"/>
        </w:rPr>
        <w:t>, όπου η εταιρεία παροχής υπηρεσιών ταχυμεταφοράς (μεταφορέας - «εισπράκτορας για λογαριασμό τρίτων») αναλαμβάνει τη μεταφορά αντικειμένων, ταχυδρομικών δεμάτων, κ.λπ. με ταυτόχρονη εξόφληση, κατά την παράδοσή τους, της αξίας της αγοράς αυτών από τους λήπτες των αγαθών χωρίς τη χρήση τραπεζικού μέσου πληρωμής και στη συνέχεια καταθέτει στον εντολέα του τα εισπραττόμενα ποσά όχι κατά όνομα πελάτη, πράγμα πρακτικά αδύνατο λόγω του αριθμού των εξυπηρετούμενων πελατών, αλλά στο σύνολό τους, προκειμένου οι συναλλασσόμενοι πελάτες κατ’ εφαρμογή της ως άνω διάταξης να εκπέσουν τα ποσά των δαπανών αυτών και δεδομένου ότι οι συναλλαγές αυτές δεν εμφανίζονται ονομαστικά κατά δαπανηθέν ποσό, η εταιρεία ταχυμεταφορών εκδίδει, κατά το χρόνο είσπραξης των μετρητών ή παραλαβής των αξιόγραφων, το προβλεπόμενο από τον ΚΦΑΣ στοιχείο είσπραξης, στο σώμα του οποίου αναγράφονται τα πλήρη στοιχεία του πελάτη (ΑΦΜ, επωνυμία, ονοματεπώνυμο, διεύθυνση, τηλέφωνο επικοινωνίας) με την υποχρέωση να καταθέσει συνολικά τα ποσά εντός δύο (2) ημερών από την έκδοση του παραστατικού σε τραπεζικό λογαριασμό της εταιρείας. Στο τέλος του έτους η εταιρεία υποχρεούται να εκδώσει εκκαθάριση με τα δαπανηθέντα ποσά ανά πελάτη, υπόχρεο απεικόνισης συναλλαγών, αναγράφοντας και τον αριθμό του τραπεζικού λογαριασμού που έγινε η κατάθεση.</w:t>
      </w:r>
    </w:p>
    <w:p>
      <w:pPr>
        <w:spacing w:before="240" w:after="240"/>
        <w:rPr>
          <w:lang w:val="el" w:eastAsia="el"/>
        </w:rPr>
      </w:pPr>
      <w:r>
        <w:rPr>
          <w:lang w:val="el" w:eastAsia="el"/>
        </w:rPr>
        <w:t>Τα ανωτέρω εφαρμόζονται και στις περιπτώσεις που οι συναλλαγές πραγματοποιούνται μέσω εμπορικών αντιπροσώπων ή εισπρακτόρων, κ.λπ.</w:t>
      </w:r>
    </w:p>
    <w:p>
      <w:pPr>
        <w:spacing w:before="240" w:after="240"/>
        <w:rPr>
          <w:lang w:val="el" w:eastAsia="el"/>
        </w:rPr>
      </w:pPr>
      <w:r>
        <w:rPr>
          <w:lang w:val="el" w:eastAsia="el"/>
        </w:rPr>
        <w:t>10. Επισημαίνεται ότι οι δαπάνες που έχουν πραγματοποιηθεί εντός του φορολογικού έτους αλλά δεν έχουν εξοφληθεί στο έτος αυτό, κρίνονται οριστικά, ως προς την εκπεσιμότητά τους, στο φορολογικό έτος που θα λάβει χώρα η εξόφληση αυτών. Στην περίπτωση που στο έτος εξόφλησης των δαπανών διαπιστωθεί ότι οι δαπάνες αυτές εξοφλήθηκαν χωρίς να γίνει χρήση τραπεζικού μέσου πληρωμής (π.χ. με μετρητά), η επιχείρηση υποχρεούται να υποβάλλει τροποποιητική δήλωση του φορολογικού έτους εντός του οποίου πραγματοποιήθηκε η συναλλαγή, προσθέτοντας τα ποσά αυτών των δαπανών ως θετική λογιστική διαφορά.</w:t>
      </w:r>
    </w:p>
    <w:p>
      <w:pPr>
        <w:spacing w:before="240" w:after="240"/>
        <w:rPr>
          <w:lang w:val="el" w:eastAsia="el"/>
        </w:rPr>
      </w:pPr>
      <w:r>
        <w:rPr>
          <w:lang w:val="el" w:eastAsia="el"/>
        </w:rPr>
        <w:t>11. Στις υπόψη διατάξεις εμπίπτουν και οι περιπτώσεις εξόφλησης δαπανών που αφορούν στην αγορά αγαθών ή λήψη υπηρεσιών από πρόσωπα που δεν έχουν υποχρέωση έκδοσης στοιχείου του ΚΦΑΣ (παρ. 5 άρθρου 6 του ΚΦΑΣ).</w:t>
      </w:r>
    </w:p>
    <w:p>
      <w:pPr>
        <w:spacing w:before="240" w:after="240"/>
        <w:rPr>
          <w:lang w:val="el" w:eastAsia="el"/>
        </w:rPr>
      </w:pPr>
      <w:r>
        <w:rPr>
          <w:lang w:val="el" w:eastAsia="el"/>
        </w:rPr>
        <w:t>12. Τα ανωτέρω έχουν εφαρμογή, σύμφωνα με την παρ. 2 του άρθρου 72 του ν.4172/2013, όπως ισχύει, για δαπάνες που αφορούν φορολογικές περιόδους που αρχίζουν από την 1.1.2014 και μετά.</w:t>
      </w:r>
    </w:p>
    <w:p>
      <w:pPr>
        <w:spacing w:before="240" w:after="240"/>
        <w:rPr>
          <w:lang w:val="el" w:eastAsia="el"/>
        </w:rPr>
      </w:pPr>
      <w:r>
        <w:rPr>
          <w:b/>
          <w:bCs/>
          <w:lang w:val="el" w:eastAsia="el"/>
        </w:rPr>
        <w:t>Ακριβές Αντίγραφο Η ΓΕΝΙΚΗ ΓΡΑΜΜΑΤΕΑΣ ΔΗΜΟΣΙΩΝ ΕΣΟΔΩΝ</w:t>
      </w:r>
    </w:p>
    <w:p>
      <w:pPr>
        <w:spacing w:before="240" w:after="240"/>
        <w:rPr>
          <w:lang w:val="el" w:eastAsia="el"/>
        </w:rPr>
      </w:pPr>
      <w:r>
        <w:rPr>
          <w:b/>
          <w:bCs/>
          <w:lang w:val="el" w:eastAsia="el"/>
        </w:rPr>
        <w:t>Η Προϊσταμένη της Γραμματείας ΑΙΚΑΤΕΡΙΝΗ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Επιμελητήριο Κυκλάδων, Απόλλωνος και Λοδοπούλου, 84 100 Ερμούπολη Σύρος</w:t>
      </w:r>
    </w:p>
    <w:p>
      <w:pPr>
        <w:spacing w:before="240" w:after="240"/>
        <w:rPr>
          <w:lang w:val="el" w:eastAsia="el"/>
        </w:rPr>
      </w:pPr>
      <w:r>
        <w:rPr>
          <w:lang w:val="el" w:eastAsia="el"/>
        </w:rPr>
        <w:t>6. Ελληνικά Ταχυδρομεία ΑΕ, Σταδίου 60, 101 88 Αθήνα</w:t>
      </w:r>
    </w:p>
    <w:p>
      <w:pPr>
        <w:spacing w:before="240" w:after="240"/>
        <w:rPr>
          <w:lang w:val="el" w:eastAsia="el"/>
        </w:rPr>
      </w:pPr>
      <w:r>
        <w:rPr>
          <w:lang w:val="el" w:eastAsia="el"/>
        </w:rPr>
        <w:t>7. Επιμελητήριο Πρέβεζας, Δωδώνης 47, 48 100 Πρέβεζα</w:t>
      </w:r>
    </w:p>
    <w:p>
      <w:pPr>
        <w:spacing w:before="240" w:after="240"/>
        <w:rPr>
          <w:lang w:val="el" w:eastAsia="el"/>
        </w:rPr>
      </w:pPr>
      <w:r>
        <w:rPr>
          <w:lang w:val="el" w:eastAsia="el"/>
        </w:rPr>
        <w:t>8. Αστήθας Γιάννης και Συνεργάτες, Χλόης 32, 144 52 Μεταμόρφωση</w:t>
      </w:r>
    </w:p>
    <w:p>
      <w:pPr>
        <w:spacing w:before="240" w:after="240"/>
        <w:rPr>
          <w:lang w:val="el" w:eastAsia="el"/>
        </w:rPr>
      </w:pPr>
      <w:r>
        <w:rPr>
          <w:lang w:val="el" w:eastAsia="el"/>
        </w:rPr>
        <w:t>9. Μανωλόπουλος ΜΕΠΕ, Αγορακρίτου 29, 104 40 Αθήνα</w:t>
      </w:r>
    </w:p>
    <w:p>
      <w:pPr>
        <w:spacing w:before="240" w:after="240"/>
        <w:rPr>
          <w:lang w:val="el" w:eastAsia="el"/>
        </w:rPr>
      </w:pPr>
      <w:r>
        <w:rPr>
          <w:lang w:val="el" w:eastAsia="el"/>
        </w:rPr>
        <w:t>10. Γραφείο Ψαριανού ΑΕ, Αμαλιάδος 29 &amp; Εσλιν 15, 152 23 Αμπελόκηποι</w:t>
      </w:r>
    </w:p>
    <w:p>
      <w:pPr>
        <w:spacing w:before="240" w:after="240"/>
        <w:rPr>
          <w:lang w:val="el" w:eastAsia="el"/>
        </w:rPr>
      </w:pPr>
      <w:r>
        <w:rPr>
          <w:lang w:val="el" w:eastAsia="el"/>
        </w:rPr>
        <w:t>11. Γαλακτοβιομηχανία Λαρίσης ΑΕ Όλυμπος, 16</w:t>
      </w:r>
      <w:r>
        <w:rPr>
          <w:sz w:val="30"/>
          <w:szCs w:val="30"/>
          <w:vertAlign w:val="superscript"/>
          <w:lang w:val="el" w:eastAsia="el"/>
        </w:rPr>
        <w:t>ο</w:t>
      </w:r>
      <w:r>
        <w:rPr>
          <w:lang w:val="el" w:eastAsia="el"/>
        </w:rPr>
        <w:t xml:space="preserve"> χλμ Ε.Ο. Λάρισας – Θεσσαλονίκης, 41 002 Λάρισα</w:t>
      </w:r>
    </w:p>
    <w:p>
      <w:pPr>
        <w:spacing w:before="240" w:after="240"/>
        <w:rPr>
          <w:lang w:val="el" w:eastAsia="el"/>
        </w:rPr>
      </w:pPr>
      <w:r>
        <w:rPr>
          <w:lang w:val="el" w:eastAsia="el"/>
        </w:rPr>
        <w:t>12. ΕΛ.ΒΙ.ΑΛ. Α.Ε., 25</w:t>
      </w:r>
      <w:r>
        <w:rPr>
          <w:sz w:val="30"/>
          <w:szCs w:val="30"/>
          <w:vertAlign w:val="superscript"/>
          <w:lang w:val="el" w:eastAsia="el"/>
        </w:rPr>
        <w:t>ο</w:t>
      </w:r>
      <w:r>
        <w:rPr>
          <w:lang w:val="el" w:eastAsia="el"/>
        </w:rPr>
        <w:t xml:space="preserve"> χλμ Ν.Ε.Ο. Θεσσαλονίκης – Κιλκίς, 611 00 Ν. Σάντα, Κιλκίς</w:t>
      </w:r>
    </w:p>
    <w:p>
      <w:pPr>
        <w:spacing w:before="240" w:after="240"/>
        <w:rPr>
          <w:lang w:val="el" w:eastAsia="el"/>
        </w:rPr>
      </w:pPr>
      <w:r>
        <w:rPr>
          <w:lang w:val="el" w:eastAsia="el"/>
        </w:rPr>
        <w:t>13. ΚΑΠΑ COM ΕΠΕ, Αγ. Κωνσταντίνου 39-41, 104 37 Αθήνα</w:t>
      </w:r>
    </w:p>
    <w:p>
      <w:pPr>
        <w:spacing w:before="240" w:after="240"/>
        <w:rPr>
          <w:lang w:val="el" w:eastAsia="el"/>
        </w:rPr>
      </w:pPr>
      <w:r>
        <w:rPr>
          <w:lang w:val="el" w:eastAsia="el"/>
        </w:rPr>
        <w:t>14. Combitrans Hellas, Θέση Μάνδρα Στάμου, Ασπρόπυργος</w:t>
      </w:r>
    </w:p>
    <w:p>
      <w:pPr>
        <w:spacing w:before="240" w:after="240"/>
        <w:rPr>
          <w:lang w:val="el" w:eastAsia="el"/>
        </w:rPr>
      </w:pPr>
      <w:r>
        <w:rPr>
          <w:lang w:val="el" w:eastAsia="el"/>
        </w:rPr>
        <w:t>15. Servimat ΕΠΕ, Μενεμένης 6, 177 78 Ταύρος</w:t>
      </w:r>
    </w:p>
    <w:p>
      <w:pPr>
        <w:spacing w:before="240" w:after="240"/>
        <w:rPr>
          <w:lang w:val="el" w:eastAsia="el"/>
        </w:rPr>
      </w:pPr>
      <w:r>
        <w:rPr>
          <w:lang w:val="el" w:eastAsia="el"/>
        </w:rPr>
        <w:t>16. Ένωση Αγροτικών Συνεταιρισμού Νάξου, Γαλανάδο Νάξου, 84 300 Νάξος</w:t>
      </w:r>
    </w:p>
    <w:p>
      <w:pPr>
        <w:spacing w:before="240" w:after="240"/>
        <w:rPr>
          <w:lang w:val="el" w:eastAsia="el"/>
        </w:rPr>
      </w:pPr>
      <w:r>
        <w:rPr>
          <w:lang w:val="el" w:eastAsia="el"/>
        </w:rPr>
        <w:t>17. Μ.Γ. Κυργιάς ΑΕΒΕ, 1</w:t>
      </w:r>
      <w:r>
        <w:rPr>
          <w:sz w:val="30"/>
          <w:szCs w:val="30"/>
          <w:vertAlign w:val="superscript"/>
          <w:lang w:val="el" w:eastAsia="el"/>
        </w:rPr>
        <w:t>ο</w:t>
      </w:r>
      <w:r>
        <w:rPr>
          <w:lang w:val="el" w:eastAsia="el"/>
        </w:rPr>
        <w:t xml:space="preserve"> χλμ από στροφή Νοεχωρούδας, Νοεχωρούδα Θεσσαλονίκη</w:t>
      </w:r>
    </w:p>
    <w:p>
      <w:pPr>
        <w:spacing w:before="240" w:after="240"/>
        <w:rPr>
          <w:lang w:val="el" w:eastAsia="el"/>
        </w:rPr>
      </w:pPr>
      <w:r>
        <w:rPr>
          <w:lang w:val="el" w:eastAsia="el"/>
        </w:rPr>
        <w:t>18. ΕΤΗΛ Α.Ε., 13</w:t>
      </w:r>
      <w:r>
        <w:rPr>
          <w:sz w:val="30"/>
          <w:szCs w:val="30"/>
          <w:vertAlign w:val="superscript"/>
          <w:lang w:val="el" w:eastAsia="el"/>
        </w:rPr>
        <w:t>ο</w:t>
      </w:r>
      <w:r>
        <w:rPr>
          <w:lang w:val="el" w:eastAsia="el"/>
        </w:rPr>
        <w:t xml:space="preserve"> χλμ Θεσσαλονίκης – Βέροιας, 57 022 Σίδνος</w:t>
      </w:r>
    </w:p>
    <w:p>
      <w:pPr>
        <w:spacing w:before="240" w:after="240"/>
        <w:rPr>
          <w:lang w:val="el" w:eastAsia="el"/>
        </w:rPr>
      </w:pPr>
      <w:r>
        <w:rPr>
          <w:lang w:val="el" w:eastAsia="el"/>
        </w:rPr>
        <w:t>19. ΕFI-ZAK Shoes Α.Ε., 8</w:t>
      </w:r>
      <w:r>
        <w:rPr>
          <w:sz w:val="30"/>
          <w:szCs w:val="30"/>
          <w:vertAlign w:val="superscript"/>
          <w:lang w:val="el" w:eastAsia="el"/>
        </w:rPr>
        <w:t>ο</w:t>
      </w:r>
      <w:r>
        <w:rPr>
          <w:lang w:val="el" w:eastAsia="el"/>
        </w:rPr>
        <w:t xml:space="preserve"> χλμ Εθνικής Οδού Θεσσαλονίκης – Αθηνών, 57 400 Σίδνος</w:t>
      </w:r>
    </w:p>
    <w:p>
      <w:pPr>
        <w:spacing w:before="240" w:after="240"/>
        <w:rPr>
          <w:lang w:val="el" w:eastAsia="el"/>
        </w:rPr>
      </w:pPr>
      <w:r>
        <w:rPr>
          <w:lang w:val="el" w:eastAsia="el"/>
        </w:rPr>
        <w:t>20. ΣΟΛ ΑΕ, Φωκ. Νέγρη 3, 11 257 Αθήνα</w:t>
      </w:r>
    </w:p>
    <w:p>
      <w:pPr>
        <w:spacing w:before="240" w:after="240"/>
        <w:rPr>
          <w:lang w:val="el" w:eastAsia="el"/>
        </w:rPr>
      </w:pPr>
      <w:r>
        <w:rPr>
          <w:lang w:val="el" w:eastAsia="el"/>
        </w:rPr>
        <w:t>21. Μαρία Κυρίτση, Αγ. Νικολάου 30, 55132 Καλαμαριά Θεσσαλονίκης</w:t>
      </w:r>
    </w:p>
    <w:p>
      <w:pPr>
        <w:spacing w:before="240" w:after="240"/>
        <w:rPr>
          <w:lang w:val="el" w:eastAsia="el"/>
        </w:rPr>
      </w:pPr>
      <w:r>
        <w:rPr>
          <w:lang w:val="el" w:eastAsia="el"/>
        </w:rPr>
        <w:t>22. Μεταλλοδομή ΑΒΕΕ, Αγ. Όρους 49, 10449 Αθήνα</w:t>
      </w:r>
    </w:p>
    <w:p>
      <w:pPr>
        <w:spacing w:before="240" w:after="240"/>
        <w:rPr>
          <w:lang w:val="el" w:eastAsia="el"/>
        </w:rPr>
      </w:pPr>
      <w:r>
        <w:rPr>
          <w:lang w:val="el" w:eastAsia="el"/>
        </w:rPr>
        <w:t>23. Αντώνης Αυζώτης, Γρ. Κουσίδου 8, 15773, Ζωγράφου</w:t>
      </w:r>
    </w:p>
    <w:p>
      <w:pPr>
        <w:spacing w:before="240" w:after="240"/>
        <w:rPr>
          <w:lang w:val="el" w:eastAsia="el"/>
        </w:rPr>
      </w:pPr>
      <w:r>
        <w:rPr>
          <w:lang w:val="el" w:eastAsia="el"/>
        </w:rPr>
        <w:t>24. ΣΙΔΜΑ ΑΕ, Βασ. Γεωργίου 30, 15233 Χαλάνδρι</w:t>
      </w:r>
    </w:p>
    <w:p>
      <w:pPr>
        <w:spacing w:before="240" w:after="240"/>
        <w:rPr>
          <w:lang w:val="el" w:eastAsia="el"/>
        </w:rPr>
      </w:pPr>
      <w:r>
        <w:rPr>
          <w:lang w:val="el" w:eastAsia="el"/>
        </w:rPr>
        <w:t>25. Τσουμπλέκα Νικολέττα, Ψαρών 16, 24100 Καλαμάτα</w:t>
      </w:r>
    </w:p>
    <w:p>
      <w:pPr>
        <w:spacing w:before="240" w:after="240"/>
        <w:rPr>
          <w:lang w:val="el" w:eastAsia="el"/>
        </w:rPr>
      </w:pPr>
      <w:r>
        <w:rPr>
          <w:lang w:val="el" w:eastAsia="el"/>
        </w:rPr>
        <w:t>26. Α &amp; Σ Σαββάλας Α.Ε., Ζωοδόχου Πηγής 18, 10681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3. Γραφείο Γενικής Γραμματέως Δημοσίων Εσόδων κας. Σαββαΐδου</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 Δ/νση Οικονομικής Επιθεώρησης - Θεμιστοκλέους 5 – 101 84 ΑΘΗΝΑ</w:t>
      </w:r>
    </w:p>
    <w:p>
      <w:pPr>
        <w:spacing w:before="240" w:after="240"/>
        <w:rPr>
          <w:lang w:val="el" w:eastAsia="el"/>
        </w:rPr>
      </w:pPr>
      <w:r>
        <w:rPr>
          <w:lang w:val="el" w:eastAsia="el"/>
        </w:rPr>
        <w:t>8. Δ/νση Φορολογίας Εισοδήματος (Δ12) - Τμήματα Α΄ (3), Β΄ (10), Γ΄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