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24.11.2014</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 xml:space="preserve">ΓΕΝΙΚΗ ΓΡΑΜΜΑΤΕΙΑ ΔΗΜΟΣΙΩΝ ΕΣΟΔΩΝ ΓΕΝΙΚΗ ΔΙΕΥΘΥΝΣΗ ΦΟΡΟΛΟΓΙΚΗΣ ΔΙΟΙΚΗΣΗΣ ΔΙΕΥΘΥΝΣΗ ΕΦΑΡΜΟΓΗΣ ΤΗΣ ΦΟΡΟΛΟΓΙΚΗΣ ΠΟΛΙΤΙΚΗΣ ΚΑΙ ΝΟΜΟΘΕΣΙΑΣ </w:t>
      </w:r>
      <w:r>
        <w:rPr>
          <w:lang w:val="el" w:eastAsia="el"/>
        </w:rPr>
        <w:t>ΥΠΟΔΙΕΥΘΥΝΣΗ Β΄</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ΦΠΑ</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Θ. Πετρούλα</w:t>
      </w:r>
    </w:p>
    <w:p>
      <w:pPr>
        <w:spacing w:before="240" w:after="240"/>
        <w:rPr>
          <w:lang w:val="el" w:eastAsia="el"/>
        </w:rPr>
      </w:pPr>
      <w:r>
        <w:rPr>
          <w:b/>
          <w:bCs/>
          <w:lang w:val="el" w:eastAsia="el"/>
        </w:rPr>
        <w:t>Τηλέφωνο : 210- 3645378</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ΘΕΜΑ: ΦΠΑ στην παράδοση αεροσκάφους μισθωμένου σε ελληνική αεροπορική εταιρία, όταν πωλητής και αγοραστής δεν είναι εγκατεστημένοι στην Ελλάδα</w:t>
      </w:r>
    </w:p>
    <w:p>
      <w:pPr>
        <w:spacing w:before="240" w:after="240"/>
        <w:rPr>
          <w:lang w:val="el" w:eastAsia="el"/>
        </w:rPr>
      </w:pPr>
      <w:r>
        <w:rPr>
          <w:lang w:val="el" w:eastAsia="el"/>
        </w:rPr>
        <w:t>Κατόπιν ερωτημάτων ενδιαφερομένων σχετικά με τον τόπο φορολογίας στην παράδοση αεροσκάφους ελληνικού νηολογίου, μισθωμένου σε ελληνική αεροπορική εταιρία, μεταξύ αλλοδαπών αντισυμβαλλόμενων, το οποίο μετά την παράδοσή του παραμένει μισθωμένο σε ελληνική αεροπορική εταιρία, σας γνωρίζουμε τα εξής:</w:t>
      </w:r>
    </w:p>
    <w:p>
      <w:pPr>
        <w:spacing w:before="240" w:after="240"/>
        <w:rPr>
          <w:lang w:val="el" w:eastAsia="el"/>
        </w:rPr>
      </w:pPr>
      <w:r>
        <w:rPr>
          <w:lang w:val="el" w:eastAsia="el"/>
        </w:rPr>
        <w:t>1. Με την παρ.1 α του άρθρου 3 του Κώδικα ΦΠΑ στο φόρο υπόκειται κάθε φυσικό ή νομικό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spacing w:before="240" w:after="240"/>
        <w:rPr>
          <w:lang w:val="el" w:eastAsia="el"/>
        </w:rPr>
      </w:pPr>
      <w:r>
        <w:rPr>
          <w:lang w:val="el" w:eastAsia="el"/>
        </w:rPr>
        <w:t>2. Σύμφωνα με το άρθρο 13 παρ.1 α του Κώδικα Φ.Π.Α. (ν.2859/00), όπως ισχύει, η παράδοση αγαθών θεωρείται ότι πραγματοποιείται στο εσωτερικό της χώρας, εφόσον κατά το χρόνο γένεσης της υποχρέωσης τα αγαθά βρίσκονται στο εσωτερικό της χώρας.</w:t>
      </w:r>
    </w:p>
    <w:p>
      <w:pPr>
        <w:spacing w:before="240" w:after="240"/>
        <w:rPr>
          <w:lang w:val="el" w:eastAsia="el"/>
        </w:rPr>
      </w:pPr>
      <w:r>
        <w:rPr>
          <w:lang w:val="el" w:eastAsia="el"/>
        </w:rPr>
        <w:t>3. Με τις διατάξεις του άρθρου 27.1.β΄ του Κώδικα ΦΠΑ απαλλάσσονται από ΦΠΑ 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w:t>
      </w:r>
    </w:p>
    <w:p>
      <w:pPr>
        <w:spacing w:before="240" w:after="240"/>
        <w:rPr>
          <w:lang w:val="el" w:eastAsia="el"/>
        </w:rPr>
      </w:pPr>
      <w:r>
        <w:rPr>
          <w:lang w:val="el" w:eastAsia="el"/>
        </w:rPr>
        <w:t>4. Σύμφωνα με την απόφαση του ΔΕΕ C-33/11 A Oy και τις κατευθυντήριες οδηγίες που εκδόθηκαν από την Επιτροπή ΦΠΑ (taxud.c.1(2013)3384768/2.10.2013), απαλλάσσεται η παράδοση αεροσκάφους σε έναν υποκείμενο στο φόρο (ακόμα κι αν δεν είναι αεροπορική εταιρία), εφόσον το αεροσκάφος διατίθεται σε αποκλειστική χρήση (πχ μίσθωση) σε αεροπορική εταιρία, η οποία απαλλάσσεται σύμφωνα με το άρθρο 148.ε της οδηγίας ΦΠΑ - 2006/112/ΕΚ (αντίστοιχο άρθρο 27.1 β΄ του Κώδικα ΦΠΑ).</w:t>
      </w:r>
    </w:p>
    <w:p>
      <w:pPr>
        <w:spacing w:before="240" w:after="240"/>
        <w:rPr>
          <w:lang w:val="el" w:eastAsia="el"/>
        </w:rPr>
      </w:pPr>
      <w:r>
        <w:rPr>
          <w:lang w:val="el" w:eastAsia="el"/>
        </w:rPr>
        <w:t>5. Κατόπιν των ανωτέρω διευκρινίζονται τα εξής:</w:t>
      </w:r>
    </w:p>
    <w:p>
      <w:pPr>
        <w:pStyle w:val="StructureList1"/>
        <w:spacing w:before="120" w:after="0"/>
        <w:rPr>
          <w:lang w:val="el" w:eastAsia="el"/>
        </w:rPr>
      </w:pPr>
      <w:r>
        <w:rPr>
          <w:lang w:val="el" w:eastAsia="el"/>
        </w:rPr>
        <w:t>α)</w:t>
      </w:r>
      <w:r>
        <w:rPr>
          <w:lang w:val="en" w:eastAsia="en"/>
        </w:rPr>
        <w:tab/>
      </w:r>
      <w:r>
        <w:rPr>
          <w:b/>
          <w:bCs/>
          <w:lang w:val="el" w:eastAsia="el"/>
        </w:rPr>
        <w:t xml:space="preserve">Σε περίπτωση που το αεροσκάφος βρίσκεται </w:t>
      </w:r>
      <w:r>
        <w:rPr>
          <w:b/>
          <w:bCs/>
          <w:lang w:val="el" w:eastAsia="el"/>
        </w:rPr>
        <w:t xml:space="preserve">εντός Ελλάδας </w:t>
      </w:r>
      <w:r>
        <w:rPr>
          <w:b/>
          <w:bCs/>
          <w:lang w:val="el" w:eastAsia="el"/>
        </w:rPr>
        <w:t>κατά το χρόνο της μεταβίβασής του (δηλαδή κατά το χρόνο υπογραφής της σχετικής πράξης μεταβίβασης – bill of sale):</w:t>
      </w:r>
    </w:p>
    <w:p>
      <w:pPr>
        <w:spacing w:before="240" w:after="240"/>
        <w:rPr>
          <w:lang w:val="el" w:eastAsia="el"/>
        </w:rPr>
      </w:pPr>
      <w:r>
        <w:rPr>
          <w:b/>
          <w:bCs/>
          <w:lang w:val="el" w:eastAsia="el"/>
        </w:rPr>
        <w:t xml:space="preserve">(i) Εάν </w:t>
      </w:r>
      <w:r>
        <w:rPr>
          <w:b/>
          <w:bCs/>
          <w:lang w:val="el" w:eastAsia="el"/>
        </w:rPr>
        <w:t xml:space="preserve">η μισθώτρια εταιρία είναι δικαιούχος της απαλλαγής </w:t>
      </w:r>
      <w:r>
        <w:rPr>
          <w:b/>
          <w:bCs/>
          <w:lang w:val="el" w:eastAsia="el"/>
        </w:rPr>
        <w:t>από το ΦΠΑ κατά τα οριζόμενα στο άρθρο 27, παρ. 1, περ. β΄ του Κώδικα ΦΠΑ, τότε η Υπηρεσία Πολιτικής Αεροπορίας μεταγράφει τη μεταβίβαση στο νηολόγιο υπό την προϋπόθεση ότι στην πράξη μεταβίβασης επισυνάπτεται αντίγραφο της βεβαίωσης απαλλαγής που έχει ήδη λάβει η μισθώτρια από την αρμόδια για τη φορολογία της Δ.Ο.Υ..</w:t>
      </w:r>
    </w:p>
    <w:p>
      <w:pPr>
        <w:spacing w:before="240" w:after="240"/>
        <w:rPr>
          <w:lang w:val="el" w:eastAsia="el"/>
        </w:rPr>
      </w:pPr>
      <w:r>
        <w:rPr>
          <w:b/>
          <w:bCs/>
          <w:lang w:val="el" w:eastAsia="el"/>
        </w:rPr>
        <w:t xml:space="preserve">(ii) Εάν </w:t>
      </w:r>
      <w:r>
        <w:rPr>
          <w:b/>
          <w:bCs/>
          <w:lang w:val="el" w:eastAsia="el"/>
        </w:rPr>
        <w:t xml:space="preserve">η μισθώτρια εταιρία </w:t>
      </w:r>
      <w:r>
        <w:rPr>
          <w:b/>
          <w:bCs/>
          <w:u w:val="single"/>
          <w:lang w:val="el" w:eastAsia="el"/>
        </w:rPr>
        <w:t>δεν</w:t>
      </w:r>
      <w:r>
        <w:rPr>
          <w:b/>
          <w:bCs/>
          <w:lang w:val="el" w:eastAsia="el"/>
        </w:rPr>
        <w:t xml:space="preserve"> είναι δικαιούχος της απαλλαγής από το ΦΠΑ </w:t>
      </w:r>
      <w:r>
        <w:rPr>
          <w:b/>
          <w:bCs/>
          <w:lang w:val="el" w:eastAsia="el"/>
        </w:rPr>
        <w:t>κατά τα οριζόμενα στο άρθρο 27, παρ. 1, περ. β΄ του Κώδικα ΦΠΑ, τότε ο πωλητής θα πρέπει να λάβει ΑΦΜ/ΦΠΑ στην Ελλάδα και η πώληση να επιβαρυνθεί με τον αναλογούντα ΦΠΑ. Η Υπηρεσία Πολιτικής Αεροπορίας μεταγράφει τη μεταβίβαση στο νηολόγιο υπό την προϋπόθεση ότι στην πράξη μεταβίβασης αναγράφεται μεταξύ άλλων ο ΑΦΜ/ΦΠΑ που έλαβε ο πωλητής στην Ελλάδα, η αρμόδια Δ.Ο.Υ., ο φορολογικός αντιπρόσωπος (εφόσον έχει ορισθεί) και ο αναλογών ΦΠΑ. Η Υπηρεσία Πολιτικής Αεροπορίας ενημερώνει άμεσα την Δ.Ο.Υ. που έχει αποδώσει ΑΦΜ/ΦΠΑ στον αλλοδαπό πωλητή για την πραγματοποίηση της εν λόγω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Σε περίπτωση που το αεροσκάφος βρίσκεται </w:t>
      </w:r>
      <w:r>
        <w:rPr>
          <w:b/>
          <w:bCs/>
          <w:lang w:val="el" w:eastAsia="el"/>
        </w:rPr>
        <w:t xml:space="preserve">εκτός Ελλάδας </w:t>
      </w:r>
      <w:r>
        <w:rPr>
          <w:b/>
          <w:bCs/>
          <w:lang w:val="el" w:eastAsia="el"/>
        </w:rPr>
        <w:t>κατά το χρόνο της μεταβίβασής του, τότε η εν λόγω μεταβίβαση δεν υπόκειται σε φόρο στην Ελλάδα, αλλά τα συμβαλλόμενα μέρη θα πρέπει να εξετάσουν τις τυχόν υποχρεώσεις τους για σκοπούς ΦΠΑ στη χώρα όπου βρίσκεται το αεροσκάφος. Για τη μεταγραφή της μεταβίβασης του αεροσκάφους στο Ελληνικό νηολόγιο, θα πρέπει να προσκομίζεται και κάθε έγγραφο (π.χ. από τον αερολιμένα στάθμευσης ή άλλης αρχής), με το οποίο θα βεβαιώνεται ο τόπος όπου βρισκόταν το αεροσκάφος κατά το χρόνο της μεταβίβασης. Η Υπηρεσία Πολιτικής Αεροπορίας ενημερώνει τη Δ.Ο.Υ. της μισθώτριας εταιρίας για την πραγματοποίηση της εν λόγω μεταβίβασης, αναφέροντας τα στοιχεία πωλητή και αγοραστή, καθώς και τον τόπο στον οποίο βρισκόταν το αεροσκάφος κατά το χρόνο της μεταβίβασης. Η αρμόδια ως άνω Δ.Ο.Υ. ενημερώνει, μέσω της διοικητικής συνεργασίας που προβλέπεται από τις διατάξεις του Καν. 904/2010, τη φορολογική διοίκηση του κράτους μέλους στο έδαφος του οποίου βρισκόταν το αεροσκάφος κατά το χρόνο της μεταβίβασης, αναφέροντας εάν η μισθώτρια επιχείρηση είναι δικαιούχος απαλλαγής ή όχι, σύμφωνα με τις διατάξεις του άρθρου 27.1.β του Κώδικα ΦΠΑ (αντίστοιχες διατάξεις άρθρου 148.ε της οδηγίας ΦΠΑ – 2006/112/ΕΚ).</w:t>
      </w:r>
    </w:p>
    <w:p>
      <w:pPr>
        <w:spacing w:before="240" w:after="240"/>
        <w:rPr>
          <w:lang w:val="el" w:eastAsia="el"/>
        </w:rPr>
      </w:pPr>
      <w:r>
        <w:rPr>
          <w:b/>
          <w:bCs/>
          <w:lang w:val="el" w:eastAsia="el"/>
        </w:rPr>
        <w:t>6. Τα ανωτέρω ισχύουν, αναλογικά, και στην περίπτωση που οι συμβαλλόμενοι ή ένας εξ αυτών είναι υποκείμενοι εγκατεστημένοι στην Ελλάδα.</w:t>
      </w:r>
    </w:p>
    <w:p>
      <w:pPr>
        <w:spacing w:before="240" w:after="240"/>
        <w:rPr>
          <w:lang w:val="el" w:eastAsia="el"/>
        </w:rPr>
      </w:pPr>
      <w:r>
        <w:rPr>
          <w:b/>
          <w:bCs/>
          <w:lang w:val="el" w:eastAsia="el"/>
        </w:rPr>
        <w:t>Η Γενική ΓραμματέαςΑικ. Σαββαΐδου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αριθ. 1</w:t>
      </w:r>
    </w:p>
    <w:p>
      <w:pPr>
        <w:spacing w:before="240" w:after="240"/>
        <w:rPr>
          <w:lang w:val="el" w:eastAsia="el"/>
        </w:rPr>
      </w:pPr>
      <w:r>
        <w:rPr>
          <w:b/>
          <w:bCs/>
          <w:lang w:val="el" w:eastAsia="el"/>
        </w:rPr>
        <w:t>2. Υπηρεσία TAXISnet για καταχώρηση στο INTERNET.</w:t>
      </w:r>
    </w:p>
    <w:p>
      <w:pPr>
        <w:spacing w:before="240" w:after="240"/>
        <w:rPr>
          <w:lang w:val="el" w:eastAsia="el"/>
        </w:rPr>
      </w:pPr>
      <w:r>
        <w:rPr>
          <w:b/>
          <w:bCs/>
          <w:lang w:val="el" w:eastAsia="el"/>
        </w:rPr>
        <w:t>3. Υπηρεσία Πολιτικής Αεροπορίας Τ.Θ. 70360 - 166 10 Γλυφάδα</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 εκτός του αριθ. 4.</w:t>
      </w:r>
    </w:p>
    <w:p>
      <w:pPr>
        <w:spacing w:before="240" w:after="240"/>
        <w:rPr>
          <w:lang w:val="el" w:eastAsia="el"/>
        </w:rPr>
      </w:pPr>
      <w:r>
        <w:rPr>
          <w:b/>
          <w:bCs/>
          <w:lang w:val="el" w:eastAsia="el"/>
        </w:rPr>
        <w:t>2</w:t>
      </w:r>
      <w:r>
        <w:rPr>
          <w:b/>
          <w:bCs/>
          <w:lang w:val="el" w:eastAsia="el"/>
        </w:rPr>
        <w:t>. Αποδέκτες Πίνακα Γ΄</w:t>
      </w:r>
    </w:p>
    <w:p>
      <w:pPr>
        <w:spacing w:before="240" w:after="240"/>
        <w:rPr>
          <w:lang w:val="el" w:eastAsia="el"/>
        </w:rPr>
      </w:pPr>
      <w:r>
        <w:rPr>
          <w:b/>
          <w:bCs/>
          <w:lang w:val="el" w:eastAsia="el"/>
        </w:rPr>
        <w:t xml:space="preserve">3. </w:t>
      </w:r>
      <w:r>
        <w:rPr>
          <w:b/>
          <w:bCs/>
          <w:lang w:val="el" w:eastAsia="el"/>
        </w:rPr>
        <w:t>Αποδέκτες Πίνακα ΣΤ΄, μόνο οι αριθ. 1, 2 &amp; 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0"/>
        <w:gridCol w:w="3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w:t>
            </w:r>
          </w:p>
          <w:p>
            <w:pPr>
              <w:spacing w:before="240" w:after="240"/>
              <w:rPr>
                <w:b w:val="0"/>
                <w:bCs w:val="0"/>
                <w:i w:val="0"/>
                <w:iCs w:val="0"/>
                <w:smallCaps w:val="0"/>
                <w:color w:val="000000"/>
                <w:lang w:val="el" w:eastAsia="el"/>
              </w:rPr>
            </w:pPr>
            <w:r>
              <w:rPr>
                <w:b w:val="0"/>
                <w:bCs w:val="0"/>
                <w:i w:val="0"/>
                <w:iCs w:val="0"/>
                <w:smallCaps w:val="0"/>
                <w:color w:val="000000"/>
                <w:lang w:val="el" w:eastAsia="el"/>
              </w:rPr>
              <w:t>5. »</w:t>
            </w:r>
          </w:p>
          <w:p>
            <w:pPr>
              <w:spacing w:before="240" w:after="240"/>
              <w:rPr>
                <w:b w:val="0"/>
                <w:bCs w:val="0"/>
                <w:i w:val="0"/>
                <w:iCs w:val="0"/>
                <w:smallCaps w:val="0"/>
                <w:color w:val="000000"/>
                <w:lang w:val="el" w:eastAsia="el"/>
              </w:rPr>
            </w:pPr>
            <w:r>
              <w:rPr>
                <w:b w:val="0"/>
                <w:bCs w:val="0"/>
                <w:i w:val="0"/>
                <w:iCs w:val="0"/>
                <w:smallCaps w:val="0"/>
                <w:color w:val="000000"/>
                <w:lang w:val="el" w:eastAsia="el"/>
              </w:rPr>
              <w:t>6. »</w:t>
            </w:r>
          </w:p>
          <w:p>
            <w:pPr>
              <w:spacing w:before="240" w:after="240"/>
              <w:rPr>
                <w:b w:val="0"/>
                <w:bCs w:val="0"/>
                <w:i w:val="0"/>
                <w:iCs w:val="0"/>
                <w:smallCaps w:val="0"/>
                <w:color w:val="000000"/>
                <w:lang w:val="el" w:eastAsia="el"/>
              </w:rPr>
            </w:pPr>
            <w:r>
              <w:rPr>
                <w:b w:val="0"/>
                <w:bCs w:val="0"/>
                <w:i w:val="0"/>
                <w:iCs w:val="0"/>
                <w:smallCaps w:val="0"/>
                <w:color w:val="000000"/>
                <w:lang w:val="el" w:eastAsia="el"/>
              </w:rPr>
              <w:t>7. »</w:t>
            </w:r>
          </w:p>
          <w:p>
            <w:pPr>
              <w:spacing w:before="240"/>
              <w:rPr>
                <w:b w:val="0"/>
                <w:bCs w:val="0"/>
                <w:i w:val="0"/>
                <w:iCs w:val="0"/>
                <w:smallCaps w:val="0"/>
                <w:color w:val="000000"/>
                <w:lang w:val="el" w:eastAsia="el"/>
              </w:rPr>
            </w:pPr>
            <w:r>
              <w:rPr>
                <w:b w:val="0"/>
                <w:bCs w:val="0"/>
                <w:i w:val="0"/>
                <w:iCs w:val="0"/>
                <w:smallCaps w:val="0"/>
                <w:color w:val="000000"/>
                <w:lang w:val="el" w:eastAsia="el"/>
              </w:rPr>
              <w:t>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Θ΄ μόνο οι αριθ. 3.</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ΙΣΤ΄ μόνο ο αρ. 3, 5, 26, 34</w:t>
            </w:r>
          </w:p>
          <w:p>
            <w:pPr>
              <w:spacing w:before="240"/>
              <w:rPr>
                <w:b w:val="0"/>
                <w:bCs w:val="0"/>
                <w:i w:val="0"/>
                <w:iCs w:val="0"/>
                <w:smallCaps w:val="0"/>
                <w:color w:val="000000"/>
                <w:lang w:val="el" w:eastAsia="el"/>
              </w:rPr>
            </w:pPr>
            <w:r>
              <w:rPr>
                <w:b w:val="0"/>
                <w:bCs w:val="0"/>
                <w:i w:val="0"/>
                <w:iCs w:val="0"/>
                <w:smallCaps w:val="0"/>
                <w:color w:val="000000"/>
                <w:lang w:val="el" w:eastAsia="el"/>
              </w:rPr>
              <w:t>» ΚΓ΄.</w:t>
            </w:r>
          </w:p>
        </w:tc>
      </w:tr>
    </w:tbl>
    <w:p>
      <w:pPr>
        <w:spacing w:before="240" w:after="240"/>
        <w:rPr>
          <w:lang w:val="el" w:eastAsia="el"/>
        </w:rPr>
      </w:pPr>
      <w:r>
        <w:rPr>
          <w:b/>
          <w:bCs/>
          <w:lang w:val="el" w:eastAsia="el"/>
        </w:rPr>
        <w:t xml:space="preserve">9. </w:t>
      </w:r>
      <w:r>
        <w:rPr>
          <w:b/>
          <w:bCs/>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Υφυπουργού Οικονομικών.</w:t>
      </w:r>
    </w:p>
    <w:p>
      <w:pPr>
        <w:spacing w:before="240" w:after="240"/>
        <w:rPr>
          <w:lang w:val="el" w:eastAsia="el"/>
        </w:rPr>
      </w:pPr>
      <w:r>
        <w:rPr>
          <w:b/>
          <w:bCs/>
          <w:lang w:val="el" w:eastAsia="el"/>
        </w:rPr>
        <w:t>2. Γραφείο Γεν. Γραμματέα Υπουργείου Οικονομικών</w:t>
      </w:r>
    </w:p>
    <w:p>
      <w:pPr>
        <w:spacing w:before="240" w:after="240"/>
        <w:rPr>
          <w:lang w:val="el" w:eastAsia="el"/>
        </w:rPr>
      </w:pPr>
      <w:r>
        <w:rPr>
          <w:b/>
          <w:bCs/>
          <w:lang w:val="el" w:eastAsia="el"/>
        </w:rPr>
        <w:t>3. Γραφείο Γεν. Γραμματέως Δημοσίων Εσόδων</w:t>
      </w:r>
    </w:p>
    <w:p>
      <w:pPr>
        <w:spacing w:before="240" w:after="240"/>
        <w:rPr>
          <w:lang w:val="el" w:eastAsia="el"/>
        </w:rPr>
      </w:pPr>
      <w:r>
        <w:rPr>
          <w:b/>
          <w:bCs/>
          <w:lang w:val="el" w:eastAsia="el"/>
        </w:rPr>
        <w:t>4. Γραφείο Γενικού Γραμματέα Γ.Γ.Π.Σ.</w:t>
      </w:r>
    </w:p>
    <w:p>
      <w:pPr>
        <w:spacing w:before="240" w:after="240"/>
        <w:rPr>
          <w:lang w:val="el" w:eastAsia="el"/>
        </w:rPr>
      </w:pPr>
      <w:r>
        <w:rPr>
          <w:b/>
          <w:bCs/>
          <w:lang w:val="el" w:eastAsia="el"/>
        </w:rPr>
        <w:t>5. Γραφεία κ. κ. Γενικών Διευθυντών.</w:t>
      </w:r>
    </w:p>
    <w:p>
      <w:pPr>
        <w:spacing w:before="240" w:after="240"/>
        <w:rPr>
          <w:lang w:val="el" w:eastAsia="el"/>
        </w:rPr>
      </w:pPr>
      <w:r>
        <w:rPr>
          <w:b/>
          <w:bCs/>
          <w:lang w:val="el" w:eastAsia="el"/>
        </w:rPr>
        <w:t>6. Γραφείο Τύπου και Δημοσίων Σχέσεων.</w:t>
      </w:r>
    </w:p>
    <w:p>
      <w:pPr>
        <w:spacing w:before="240" w:after="240"/>
        <w:rPr>
          <w:lang w:val="el" w:eastAsia="el"/>
        </w:rPr>
      </w:pPr>
      <w:r>
        <w:rPr>
          <w:b/>
          <w:bCs/>
          <w:lang w:val="el" w:eastAsia="el"/>
        </w:rPr>
        <w:t>7. Γραφείο Επικοινωνίας και Πληροφόρησης Πολιτών.</w:t>
      </w:r>
    </w:p>
    <w:p>
      <w:pPr>
        <w:spacing w:before="240" w:after="240"/>
        <w:rPr>
          <w:lang w:val="el" w:eastAsia="el"/>
        </w:rPr>
      </w:pPr>
      <w:r>
        <w:rPr>
          <w:b/>
          <w:bCs/>
          <w:lang w:val="el" w:eastAsia="el"/>
        </w:rPr>
        <w:t>8. Δνση Εφαρμογής της φορολογικής πολιτικής &amp; νομοθεσίας-Τμ.Α΄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