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ΕΠΙΛΥΣΗΣ ΔΙΑΦΟΡΩΝ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ΥΠΟΔΙΕΥΘΥΝΣΗ ΝΟΜΙΚΩΝ ΘΕΜΑΤΩΝ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Αριστογείτονος 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17671 - Καλλιθέα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 : 210 9576 882, -883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9531321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yee@mofadm.gr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«Παύση της ισχύος της µε αριθ. ΠΟΛ. 1218/2014 εγκυκλίου Γ.Γ.Δ.Ε. σχετικά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µε την υποβολή και διαβίβαση ενδικοφανών προσφυγών κατά πράξεων διοικητικού προσδιορισµού ΕΝ.Φ.Ι.Α. (ν. 4223/2013) στη Διεύθυνση Επίλυσης Διαφορών»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 µε αριθ. ΠΟΛ. 1218/3-10-2014 εγκύκλιο Γ.Γ.∆.Ε. ορίστηκε ειδική διαδικασία υποβολής και διαβίβασης ενδικοφανών προσφυγών κατά πράξεων διοικητικού προσδιορισµού ΕΝ.Φ.Ι.Α. (ν. 4223/2013) στη ∆ιεύθυνση Επίλυσης ∆ιαφορών, για τη διευκόλυνση των φορολογουµένων και των φορολογικών αρχών, λόγω του µεγάλου αριθµού ενδικοφανών προσφυγών που ασκήθηκαν κατά την πρώτη εφαρµογή του ΕΝ.Φ.Ι.Α.. Ήδη µε την παρούσα διευκρινίζεται ότι </w:t>
      </w:r>
      <w:r>
        <w:rPr>
          <w:b/>
          <w:bCs/>
          <w:lang w:val="el" w:eastAsia="el"/>
        </w:rPr>
        <w:t>η οριζόµενη στην ανωτέρω εγκύκλιο διαδικασία παύει να ισχύει εφεξής.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Συνεπώς, για την παραλαβή, ηλεκτρονική καταχώριση και διαβίβαση των ενδικοφανών προσφυγών που ασκούνται από λήψεως της παρούσας κατά πράξεων διοικητικού προσδιορισµού ΕΝ.Φ.Ι.Α. </w:t>
      </w:r>
      <w:r>
        <w:rPr>
          <w:b/>
          <w:bCs/>
          <w:lang w:val="el" w:eastAsia="el"/>
        </w:rPr>
        <w:t>ισχύει η οριζόµενη διαδικασία στη µε αριθ. ΠΟΛ. 1069/2014 εγκύκλιο Γ.Γ.Δ.Ε., η οποία τηρείται και για τις λοιπές ενδικοφανείς προσφυγές.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Προϊσταµένη της Γραµµατείας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Ι Ν Α Κ Α Σ Α Π Ο Δ Ε Κ Τ </w:t>
      </w:r>
      <w:r>
        <w:rPr>
          <w:b/>
          <w:bCs/>
          <w:u w:val="single"/>
          <w:lang w:val="el" w:eastAsia="el"/>
        </w:rPr>
        <w:t xml:space="preserve">Ω </w:t>
      </w:r>
      <w:r>
        <w:rPr>
          <w:b/>
          <w:bCs/>
          <w:u w:val="single"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∆.Ο.Υ.: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∆.Ο.Υ. στις οποίες λειτουργούν Τµήµατα Ελέγχου και ∆ικαστικού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∆.Ο.Υ. στις οποίες δεν λειτουργούν Τµήµατα Ελέγχου και ∆ικαστικού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Κ.Ε.ΦΟ.ΜΕ.Π – Κ.Ε.ΜΕ.ΕΠ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∆ιεύθυνση Υποστήριξης Ηλεκτρονικά Συναλλασσοµένων (e - υπηρεσίες)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Γ.Γ.∆.Ε.)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Α’ (πλην περ. 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Η’ (πλην περ. 4, 10 και 11)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Ι’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Π.Ο.Ε. - ∆.Ο.Υ.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Περιοδικό «Φορολογική Επιθεώρηση»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 xml:space="preserve">ΕΣΩΤΕΡΙΚΗ </w:t>
      </w:r>
      <w:r>
        <w:rPr>
          <w:b/>
          <w:bCs/>
          <w:u w:val="single"/>
          <w:lang w:val="el" w:eastAsia="el"/>
        </w:rPr>
        <w:t>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Γενικού Γραµµατέα ∆ηµοσίων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Προϊσταµένους Γενικών ∆ιευθύνσεων ΓΓ∆Ε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∆ιεύθυνση Επίλυσης ∆ιαφορών Αριστογείτονος 19 – Τ.Κ. 176 71 Τµήµατα Α΄1, Α΄2, Α΄3, Α΄4, Β΄1, Β΄2 και Τµήµα ∆ιοικητικής Υποστήριξης (15 αντίγραφα)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Υποδιεύθυνση Γ΄ Φορολογίας Κεφαλαίου, Τµήµα Α΄ Φορολογίας Ακίνητης Περιουσίας (4)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ee@mofadm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