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ΦΟΡΟΛΟΓΙΚΗΣ ΔΙΟΙΚΗΣΗΣ</w:t>
      </w:r>
    </w:p>
    <w:p>
      <w:pPr>
        <w:pStyle w:val="Title"/>
        <w:spacing w:before="120" w:after="360"/>
        <w:rPr>
          <w:lang w:val="el" w:eastAsia="el"/>
        </w:rPr>
      </w:pPr>
      <w:r>
        <w:rPr>
          <w:b/>
          <w:bCs/>
          <w:lang w:val="el" w:eastAsia="el"/>
        </w:rPr>
        <w:t>Δ/ΝΣΗ ΕΦΑΡΜΟΓΗΣ ΤΗΣ ΦΟΡΟΛΟΓΙΚΗΣ ΠΟΛΙΤΙΚΗΣ ΚΑΙ ΝΟΜΟΘΕΣΙΑΣ</w:t>
      </w:r>
    </w:p>
    <w:p>
      <w:pPr>
        <w:pStyle w:val="Title"/>
        <w:spacing w:before="120" w:after="360"/>
        <w:rPr>
          <w:lang w:val="el" w:eastAsia="el"/>
        </w:rPr>
      </w:pPr>
      <w:r>
        <w:rPr>
          <w:b/>
          <w:bCs/>
          <w:lang w:val="el" w:eastAsia="el"/>
        </w:rPr>
        <w:t>ΥΠΟΔΙΕΥΘΥΝΣΗ Β΄ΕΜΜΕΣΗΣ 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ΚΑΙ ΕΙΔΙΚΩΝ ΦΟΡΟΛΟΓΙΩΝ</w:t>
      </w:r>
    </w:p>
    <w:p>
      <w:pPr>
        <w:spacing w:before="240" w:after="240"/>
        <w:rPr>
          <w:lang w:val="el" w:eastAsia="el"/>
        </w:rPr>
      </w:pPr>
      <w:r>
        <w:rPr>
          <w:b/>
          <w:bCs/>
          <w:lang w:val="el" w:eastAsia="el"/>
        </w:rPr>
        <w:t>: Σίνα 2-4</w:t>
      </w:r>
    </w:p>
    <w:p>
      <w:pPr>
        <w:spacing w:before="240" w:after="240"/>
        <w:rPr>
          <w:lang w:val="el" w:eastAsia="el"/>
        </w:rPr>
      </w:pPr>
      <w:r>
        <w:rPr>
          <w:b/>
          <w:bCs/>
          <w:lang w:val="el" w:eastAsia="el"/>
        </w:rPr>
        <w:t>: 10672 ΑΘΗΝΑ</w:t>
      </w:r>
    </w:p>
    <w:p>
      <w:pPr>
        <w:spacing w:before="240" w:after="240"/>
        <w:rPr>
          <w:lang w:val="el" w:eastAsia="el"/>
        </w:rPr>
      </w:pPr>
      <w:r>
        <w:rPr>
          <w:b/>
          <w:bCs/>
          <w:lang w:val="el" w:eastAsia="el"/>
        </w:rPr>
        <w:t>Β. Ζαρκαδούλα</w:t>
      </w:r>
    </w:p>
    <w:p>
      <w:pPr>
        <w:spacing w:before="240" w:after="240"/>
        <w:rPr>
          <w:lang w:val="el" w:eastAsia="el"/>
        </w:rPr>
      </w:pPr>
      <w:r>
        <w:rPr>
          <w:b/>
          <w:bCs/>
          <w:lang w:val="el" w:eastAsia="el"/>
        </w:rPr>
        <w:t>: 210- 3644781</w:t>
      </w:r>
    </w:p>
    <w:p>
      <w:pPr>
        <w:spacing w:before="240" w:after="240"/>
        <w:rPr>
          <w:lang w:val="el" w:eastAsia="el"/>
        </w:rPr>
      </w:pPr>
      <w:r>
        <w:rPr>
          <w:b/>
          <w:bCs/>
          <w:lang w:val="el" w:eastAsia="el"/>
        </w:rPr>
        <w:t>: 210-3642251</w:t>
      </w:r>
    </w:p>
    <w:p>
      <w:pPr>
        <w:spacing w:before="240" w:after="240"/>
        <w:rPr>
          <w:lang w:val="el" w:eastAsia="el"/>
        </w:rPr>
      </w:pPr>
      <w:r>
        <w:rPr>
          <w:b/>
          <w:bCs/>
          <w:lang w:val="el" w:eastAsia="el"/>
        </w:rPr>
        <w:t xml:space="preserve">ΘΕΜΑ : </w:t>
      </w:r>
      <w:r>
        <w:rPr>
          <w:lang w:val="el" w:eastAsia="el"/>
        </w:rPr>
        <w:t>Κοινοποίηση διατάξεων του άρθρου 85 του ν. 4316/2014 «Ίδρυση παρατηρητηρίου άνοιας, βελτίωση περιγεννητικής φροντίδας, ρυθμίσεις θεμάτων αρμοδιότητας Υπουργείου Υγείας και άλλες διατάξεις» (ΦΕΚ 270 Α΄), περί της παράτασης για την απόσυρση των αυτοκινήτων οχημάτων.</w:t>
      </w:r>
    </w:p>
    <w:p>
      <w:pPr>
        <w:spacing w:before="240" w:after="240"/>
        <w:rPr>
          <w:lang w:val="el" w:eastAsia="el"/>
        </w:rPr>
      </w:pPr>
      <w:r>
        <w:rPr>
          <w:lang w:val="el" w:eastAsia="el"/>
        </w:rPr>
        <w:t>Κοινοποιούμε κατωτέρω τις διατάξεις του άρθρου 85 του ν.4316/2014(ΦΕΚ Α΄270) και παρέχουμε τις ακόλουθες οδηγίες για την ορθή και ομοιόμορφη εφαρμογή τους:</w:t>
      </w:r>
    </w:p>
    <w:p>
      <w:pPr>
        <w:spacing w:before="240" w:after="240"/>
        <w:rPr>
          <w:lang w:val="el" w:eastAsia="el"/>
        </w:rPr>
      </w:pPr>
      <w:r>
        <w:rPr>
          <w:lang w:val="el" w:eastAsia="el"/>
        </w:rPr>
        <w:t>Παρατείνεται μέχρι 31/12/2015 η ισχύς των διατάξεων της παρ. 2 του άρθρου 8 του ν.3899/2010(ΦΕΚ Α΄212) και της παρ. 5 του άρθρου 30 του ν.3943/2011 (ΦΕΚ Α΄66),περί του δικαιώματος παραλαβής νέου αυτοκινήτου σε αντικατάσταση παλαιού που αποσύρεται και περί απόσυρσης για καταστροφή Ε.Ι.Χ και φορτηγών Ι.Χ αυτοκινήτων των οποίων οι άδειες κυκλοφορίας έχουν εκδοθεί στη χώρα μας έως 31/12/2001 και έχουν καταβληθεί τα τέλη κυκλοφορίας του έτους εντός του οποίου γίνεται η διαγραφή και τυχόν οφειλόμενα προηγουμένων ετών, αντίστοιχα. Με τις αναφερόμενες στο θέμα διατάξεις ορίζεται επίσης ότι, τα εν λόγω αυτοκίνητα πρέπει να αποσυρθούν από την κυκλοφορία μέχρι και την 20-12-2015.</w:t>
      </w:r>
    </w:p>
    <w:p>
      <w:pPr>
        <w:spacing w:before="240" w:after="240"/>
        <w:rPr>
          <w:lang w:val="el" w:eastAsia="el"/>
        </w:rPr>
      </w:pPr>
      <w:r>
        <w:rPr>
          <w:lang w:val="el" w:eastAsia="el"/>
        </w:rPr>
        <w:t>Η ισχύς των προαναφερομένων διατάξεων αρχίζει από 1/1/2015.</w:t>
      </w:r>
    </w:p>
    <w:p>
      <w:pPr>
        <w:spacing w:before="240" w:after="240"/>
        <w:rPr>
          <w:lang w:val="el" w:eastAsia="el"/>
        </w:rPr>
      </w:pPr>
      <w:r>
        <w:rPr>
          <w:lang w:val="el" w:eastAsia="el"/>
        </w:rPr>
        <w:t>Επιπλέον, τα όσα έχουν διευκρινισθεί με τις εγκυκλίους ΠΟΛ 1037/22.2.2011,ΠΟΛ1050/15.3.2011,ΠΟΛ1074/8-4-2011 και ΠΟΛ.1091/30-3-2012, αναφορικά με την καταβολή των τελών κυκλοφορίας των αποσυρόμενων οχημάτων (να έχουν καταβληθεί για το έτος της απόσυρσης καθώς και οι τυχόν οφειλές προηγούμενων ετών, διαδικασία οριστικής διαγραφής, χορήγηση βεβαίωσης κ.τ.λ) εξακολουθούν αναλογικά να ισχύουν και μετά την προαναφερόμενη παράταση των διατάξεων περί της απόσυρσης των αυτοκινήτων οχημάτων.</w:t>
      </w:r>
    </w:p>
    <w:p>
      <w:pPr>
        <w:spacing w:before="240" w:after="240"/>
        <w:rPr>
          <w:lang w:val="el" w:eastAsia="el"/>
        </w:rPr>
      </w:pPr>
      <w:r>
        <w:rPr>
          <w:b/>
          <w:bCs/>
          <w:lang w:val="el" w:eastAsia="el"/>
        </w:rPr>
        <w:t>ΑΚΡΙΒΕΣ ΑΝΤΙΓΡΑΦΟ Η ΓΕΝ. ΓΡΑΜΜΑΤΕΑΣ ΔΗΜ. ΕΣΟΔΩΝ</w:t>
      </w:r>
    </w:p>
    <w:p>
      <w:pPr>
        <w:spacing w:before="240" w:after="240"/>
        <w:rPr>
          <w:lang w:val="el" w:eastAsia="el"/>
        </w:rPr>
      </w:pPr>
      <w:r>
        <w:rPr>
          <w:b/>
          <w:bCs/>
          <w:lang w:val="el" w:eastAsia="el"/>
        </w:rPr>
        <w:t>Ο ΠΡΟΪΣΤΑΜΕΝΟΣ ΤΟΥ ΑΥΤΟΤΕΛΟΥΣ ΑΙΚΑΤΕΡΙΝΗ ΣΑΒΒΑΪΔΟΥ</w:t>
      </w:r>
    </w:p>
    <w:p>
      <w:pPr>
        <w:spacing w:before="240" w:after="240"/>
        <w:rPr>
          <w:lang w:val="el" w:eastAsia="el"/>
        </w:rPr>
      </w:pPr>
      <w:r>
        <w:rPr>
          <w:b/>
          <w:bCs/>
          <w:lang w:val="el" w:eastAsia="el"/>
        </w:rPr>
        <w:t>ΤΜΗΜΑΤΟΣ ΔΙΟΙΚΗΣΗΣ</w:t>
      </w:r>
    </w:p>
    <w:p>
      <w:pPr>
        <w:spacing w:before="240" w:after="240"/>
        <w:rPr>
          <w:lang w:val="el" w:eastAsia="el"/>
        </w:rPr>
      </w:pPr>
      <w:r>
        <w:rPr>
          <w:b/>
          <w:bCs/>
          <w:lang w:val="el" w:eastAsia="el"/>
        </w:rPr>
        <w:t>ΣΥΝΗΜΜΕΝΑ:ΦΕΚ 270/Α΄/24-12-2014,ΑΡΘΡΟ</w:t>
      </w:r>
    </w:p>
    <w:p>
      <w:pPr>
        <w:spacing w:before="240" w:after="240"/>
        <w:rPr>
          <w:lang w:val="el" w:eastAsia="el"/>
        </w:rPr>
      </w:pPr>
      <w:r>
        <w:rPr>
          <w:b/>
          <w:bCs/>
          <w:lang w:val="el" w:eastAsia="el"/>
        </w:rPr>
        <w:t>85</w:t>
      </w:r>
    </w:p>
    <w:p>
      <w:pPr>
        <w:spacing w:before="240" w:after="240"/>
        <w:rPr>
          <w:lang w:val="el" w:eastAsia="el"/>
        </w:rPr>
      </w:pPr>
      <w:r>
        <w:rPr>
          <w:b/>
          <w:bCs/>
          <w:u w:val="single"/>
          <w:lang w:val="el" w:eastAsia="el"/>
        </w:rPr>
        <w:t>ΠΙΝΑΚΑΣ ΔΙΑΝΟΜΗΣ</w:t>
      </w:r>
      <w:r>
        <w:rPr>
          <w:lang w:val="el" w:eastAsia="el"/>
        </w:rPr>
        <w:t>:</w:t>
      </w:r>
    </w:p>
    <w:p>
      <w:pPr>
        <w:spacing w:before="240" w:after="240"/>
        <w:rPr>
          <w:lang w:val="el" w:eastAsia="el"/>
        </w:rPr>
      </w:pPr>
      <w:r>
        <w:rPr>
          <w:lang w:val="el" w:eastAsia="el"/>
        </w:rPr>
        <w:t xml:space="preserve">I. </w:t>
      </w:r>
      <w:r>
        <w:rPr>
          <w:u w:val="single"/>
          <w:lang w:val="el" w:eastAsia="el"/>
        </w:rPr>
        <w:t>ΑΠΟΔΕΚΤΕΣ ΓΙΑ ΕΝΕΡΓΕΙΑ</w:t>
      </w:r>
    </w:p>
    <w:p>
      <w:pPr>
        <w:spacing w:before="240" w:after="240"/>
        <w:rPr>
          <w:lang w:val="el" w:eastAsia="el"/>
        </w:rPr>
      </w:pPr>
      <w:r>
        <w:rPr>
          <w:lang w:val="el" w:eastAsia="el"/>
        </w:rPr>
        <w:t>1. Όλες τις Δ.Ο.Υ. και τα κλιμάκια των Δ.Ο.Υ στις Υπηρεσίες του Υπουργείου Υποδομών, Μεταφορών &amp; Δικτύων.</w:t>
      </w:r>
    </w:p>
    <w:p>
      <w:pPr>
        <w:spacing w:before="240" w:after="240"/>
        <w:rPr>
          <w:lang w:val="el" w:eastAsia="el"/>
        </w:rPr>
      </w:pPr>
      <w:r>
        <w:rPr>
          <w:lang w:val="el" w:eastAsia="el"/>
        </w:rPr>
        <w:t>2. Όλα τα τελωνεία</w:t>
      </w:r>
    </w:p>
    <w:p>
      <w:pPr>
        <w:spacing w:before="240" w:after="240"/>
        <w:rPr>
          <w:lang w:val="el" w:eastAsia="el"/>
        </w:rPr>
      </w:pPr>
      <w:r>
        <w:rPr>
          <w:lang w:val="el" w:eastAsia="el"/>
        </w:rPr>
        <w:t>3. Κεντρική Υπηρεσία Σ.Δ.Ο.Ε. και τις περιφερειακές Διευθύνσεις του</w:t>
      </w:r>
    </w:p>
    <w:p>
      <w:pPr>
        <w:spacing w:before="240" w:after="240"/>
        <w:rPr>
          <w:lang w:val="el" w:eastAsia="el"/>
        </w:rPr>
      </w:pPr>
      <w:r>
        <w:rPr>
          <w:lang w:val="el" w:eastAsia="el"/>
        </w:rPr>
        <w:t>4. Ελεγκτικά κέντρα</w:t>
      </w:r>
    </w:p>
    <w:p>
      <w:pPr>
        <w:spacing w:before="240" w:after="240"/>
        <w:rPr>
          <w:lang w:val="el" w:eastAsia="el"/>
        </w:rPr>
      </w:pPr>
      <w:r>
        <w:rPr>
          <w:lang w:val="el" w:eastAsia="el"/>
        </w:rPr>
        <w:t xml:space="preserve">II. </w:t>
      </w:r>
      <w:r>
        <w:rPr>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Γεν. Γραμματέα Δημοσίων Εσόδων</w:t>
      </w:r>
    </w:p>
    <w:p>
      <w:pPr>
        <w:spacing w:before="240" w:after="240"/>
        <w:rPr>
          <w:lang w:val="el" w:eastAsia="el"/>
        </w:rPr>
      </w:pPr>
      <w:r>
        <w:rPr>
          <w:lang w:val="el" w:eastAsia="el"/>
        </w:rPr>
        <w:t>4. Γραφείο Γεν. Διευθυντή Φορολογικής Διοίκησης</w:t>
      </w:r>
    </w:p>
    <w:p>
      <w:pPr>
        <w:spacing w:before="240" w:after="240"/>
        <w:rPr>
          <w:lang w:val="el" w:eastAsia="el"/>
        </w:rPr>
      </w:pPr>
      <w:r>
        <w:rPr>
          <w:lang w:val="el" w:eastAsia="el"/>
        </w:rPr>
        <w:t>5. Όλες τις Φορολογικές Δ/νσεις και Τμήματα</w:t>
      </w:r>
    </w:p>
    <w:p>
      <w:pPr>
        <w:spacing w:before="240" w:after="240"/>
        <w:rPr>
          <w:lang w:val="el" w:eastAsia="el"/>
        </w:rPr>
      </w:pPr>
      <w:r>
        <w:rPr>
          <w:lang w:val="el" w:eastAsia="el"/>
        </w:rPr>
        <w:t>6. Δ/νση Ηλεκτρονικής Διακυβέρνησης</w:t>
      </w:r>
    </w:p>
    <w:p>
      <w:pPr>
        <w:spacing w:before="240" w:after="240"/>
        <w:rPr>
          <w:lang w:val="el" w:eastAsia="el"/>
        </w:rPr>
      </w:pPr>
      <w:r>
        <w:rPr>
          <w:lang w:val="el" w:eastAsia="el"/>
        </w:rPr>
        <w:t>7. Δ/νση Υποστήριξης Ηλεκτρονικά Συναλλασσομένων</w:t>
      </w:r>
    </w:p>
    <w:p>
      <w:pPr>
        <w:spacing w:before="240" w:after="240"/>
        <w:rPr>
          <w:lang w:val="el" w:eastAsia="el"/>
        </w:rPr>
      </w:pPr>
      <w:r>
        <w:rPr>
          <w:lang w:val="el" w:eastAsia="el"/>
        </w:rPr>
        <w:t>8. Δ/νση Υποστήριξης Ηλεκτρονικών Υπηρεσιών –Τμ. Α΄</w:t>
      </w:r>
    </w:p>
    <w:p>
      <w:pPr>
        <w:spacing w:before="240" w:after="240"/>
        <w:rPr>
          <w:lang w:val="el" w:eastAsia="el"/>
        </w:rPr>
      </w:pPr>
      <w:r>
        <w:rPr>
          <w:lang w:val="el" w:eastAsia="el"/>
        </w:rPr>
        <w:t>9. Γ.Γ.Π.Σ</w:t>
      </w:r>
    </w:p>
    <w:p>
      <w:pPr>
        <w:spacing w:before="240" w:after="240"/>
        <w:rPr>
          <w:lang w:val="el" w:eastAsia="el"/>
        </w:rPr>
      </w:pPr>
      <w:r>
        <w:rPr>
          <w:lang w:val="el" w:eastAsia="el"/>
        </w:rPr>
        <w:t>10. Γραφείο Τύπου και Δημοσίων Σχέσεων(10 αντίγραφα)</w:t>
      </w:r>
    </w:p>
    <w:p>
      <w:pPr>
        <w:spacing w:before="240" w:after="240"/>
        <w:rPr>
          <w:lang w:val="el" w:eastAsia="el"/>
        </w:rPr>
      </w:pPr>
      <w:r>
        <w:rPr>
          <w:lang w:val="el" w:eastAsia="el"/>
        </w:rPr>
        <w:t>11. Γραφείο Επικοινωνίας και Πληροφόρησης Πολιτών(10 αντίγραφα)</w:t>
      </w:r>
    </w:p>
    <w:p>
      <w:pPr>
        <w:spacing w:before="240" w:after="240"/>
        <w:rPr>
          <w:lang w:val="el" w:eastAsia="el"/>
        </w:rPr>
      </w:pPr>
      <w:r>
        <w:rPr>
          <w:lang w:val="el" w:eastAsia="el"/>
        </w:rPr>
        <w:t>12. Περιοδικό «Φορολογική Επιθεώρηση»</w:t>
      </w:r>
    </w:p>
    <w:p>
      <w:pPr>
        <w:spacing w:before="240" w:after="240"/>
        <w:rPr>
          <w:lang w:val="el" w:eastAsia="el"/>
        </w:rPr>
      </w:pPr>
      <w:r>
        <w:rPr>
          <w:lang w:val="el" w:eastAsia="el"/>
        </w:rPr>
        <w:t>13. Υποδ. Έμμεσης Φορολογίας- Τμ.Τελών &amp; Ειδ.Φορ.(10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