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7ΚΕΩΗ-5Ι9</w:t>
      </w:r>
    </w:p>
    <w:p>
      <w:pPr>
        <w:pStyle w:val="PreambelText"/>
        <w:spacing w:before="240" w:after="240"/>
        <w:rPr>
          <w:lang w:val="el" w:eastAsia="el"/>
        </w:rPr>
      </w:pPr>
      <w:r>
        <w:rPr>
          <w:b/>
          <w:bCs/>
          <w:u w:val="single"/>
          <w:lang w:val="el" w:eastAsia="el"/>
        </w:rPr>
        <w:t>ΑΔΑ</w:t>
      </w:r>
      <w:r>
        <w:rPr>
          <w:b/>
          <w:bCs/>
          <w:lang w:val="el" w:eastAsia="el"/>
        </w:rPr>
        <w:t>:</w:t>
      </w:r>
    </w:p>
    <w:p>
      <w:pPr>
        <w:pStyle w:val="PreambelText"/>
        <w:spacing w:before="240" w:after="240"/>
        <w:rPr>
          <w:lang w:val="el" w:eastAsia="el"/>
        </w:rPr>
      </w:pPr>
      <w:r>
        <w:rPr>
          <w:b/>
          <w:bCs/>
          <w:u w:val="single"/>
          <w:lang w:val="el" w:eastAsia="el"/>
        </w:rPr>
        <w:t>ΑΝΑΡΤΗΤΕΑ ΣΤΟ ΔΙΑΔΙΚΤΥΟ</w:t>
      </w:r>
    </w:p>
    <w:p>
      <w:pPr>
        <w:pStyle w:val="PreambelText"/>
        <w:spacing w:before="240" w:after="240"/>
        <w:rPr>
          <w:lang w:val="el" w:eastAsia="el"/>
        </w:rPr>
      </w:pPr>
      <w:r>
        <w:rPr>
          <w:lang w:val="el" w:eastAsia="el"/>
        </w:rPr>
        <w:t>Αθήνα, 23/01/2015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ΦΟΡΟΛΟΓΙΚΗΣ</w:t>
      </w:r>
    </w:p>
    <w:p>
      <w:pPr>
        <w:pStyle w:val="PreambelText"/>
        <w:spacing w:before="240" w:after="240"/>
        <w:rPr>
          <w:lang w:val="el" w:eastAsia="el"/>
        </w:rPr>
      </w:pPr>
      <w:r>
        <w:rPr>
          <w:b/>
          <w:bCs/>
          <w:lang w:val="el" w:eastAsia="el"/>
        </w:rPr>
        <w:t>ΠΟΛΙΤΙΚΗΣ &amp; ΝΟΜΟΘΕΣΙΑΣ</w:t>
      </w:r>
    </w:p>
    <w:p>
      <w:pPr>
        <w:pStyle w:val="PreambelText"/>
        <w:spacing w:before="240" w:after="240"/>
        <w:rPr>
          <w:lang w:val="el" w:eastAsia="el"/>
        </w:rPr>
      </w:pPr>
      <w:r>
        <w:rPr>
          <w:b/>
          <w:bCs/>
          <w:lang w:val="el" w:eastAsia="el"/>
        </w:rPr>
        <w:t>ΥΠΟΔΙΕΥΘΥΝΣΗ Β΄ «Έμμεσης Φορολογίας»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ΓΕΝΙΚΗ ΔΙΕΥΘΥΝΣΗ ΤΕΛΩΝΕΙΩΝ &amp;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ΕΙΣΑΓΩΓΩΝ-ΕΞΑΓΩΓΩΝ»</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ΑΘΗΝΑ</w:t>
      </w:r>
    </w:p>
    <w:p>
      <w:pPr>
        <w:spacing w:before="240" w:after="240"/>
        <w:rPr>
          <w:lang w:val="el" w:eastAsia="el"/>
        </w:rPr>
      </w:pPr>
      <w:r>
        <w:rPr>
          <w:b/>
          <w:bCs/>
          <w:lang w:val="el" w:eastAsia="el"/>
        </w:rPr>
        <w:t>: Αιμ. Κατρινάκη, Χρ. Γεώργα</w:t>
      </w:r>
    </w:p>
    <w:p>
      <w:pPr>
        <w:spacing w:before="240" w:after="240"/>
        <w:rPr>
          <w:lang w:val="el" w:eastAsia="el"/>
        </w:rPr>
      </w:pPr>
      <w:r>
        <w:rPr>
          <w:b/>
          <w:bCs/>
          <w:lang w:val="el" w:eastAsia="el"/>
        </w:rPr>
        <w:t>: 210- 3645848</w:t>
      </w:r>
    </w:p>
    <w:p>
      <w:pPr>
        <w:spacing w:before="240" w:after="240"/>
        <w:rPr>
          <w:lang w:val="el" w:eastAsia="el"/>
        </w:rPr>
      </w:pPr>
      <w:r>
        <w:rPr>
          <w:b/>
          <w:bCs/>
          <w:lang w:val="el" w:eastAsia="el"/>
        </w:rPr>
        <w:t>: 210- 3645413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ΠΡΟΣ</w:t>
      </w:r>
      <w:r>
        <w:rPr>
          <w:lang w:val="el" w:eastAsia="el"/>
        </w:rPr>
        <w:t>: Όπως Πίνακας Διανομής</w:t>
      </w:r>
    </w:p>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47 του Κώδικα ΦΠΑ (ν. 2859/2000) με ισχύ για το έτος 2015.</w:t>
      </w:r>
    </w:p>
    <w:p>
      <w:pPr>
        <w:spacing w:before="240" w:after="240"/>
        <w:rPr>
          <w:lang w:val="el" w:eastAsia="el"/>
        </w:rPr>
      </w:pPr>
      <w:r>
        <w:rPr>
          <w:lang w:val="el" w:eastAsia="el"/>
        </w:rPr>
        <w:t>Σας κοινοποιούμε, συνημμένα, στην ελληνική γλώσσα, τον κατάλογο των χρυσών νομισμάτων που πληρούν τα κριτήρια που καθορίζονται στο άρθρο 47, παρ. 2, περ. β΄ του Κώδικα ΦΠΑ, ν. 2859/2000 (αντίστοιχη διάταξη άρθρο 344, παρ. 1, σημείο 2 της 2006/112/ΕΚ οδηγίας ΦΠΑ), σχετικά με το ειδικό καθεστώς απαλλαγής από το φόρο προστιθεμένης αξίας του επενδυτικού χρυσού, όπως δημοσιεύθηκε στην Επίσημη Εφημερίδα της Ευρ. Ένωσης (τεύχος 2014/C 396/06, έκδοση στις 11.11.2014) και ισχύει για το έτος 2015.</w:t>
      </w:r>
    </w:p>
    <w:p>
      <w:pPr>
        <w:spacing w:before="240" w:after="240"/>
        <w:rPr>
          <w:lang w:val="el" w:eastAsia="el"/>
        </w:rPr>
      </w:pPr>
      <w:r>
        <w:rPr>
          <w:lang w:val="el" w:eastAsia="el"/>
        </w:rPr>
        <w:t>Όπως αναφέρεται και στην αιτιολογική έκθεση του καταλόγου, ένα νόμισμα απαλλάσσεται από το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ΦΠΑ (οι οποίες έχουν ενσωματωθεί ως ανωτέρω στο εσωτερικό μας δίκαιο). Επισημαίνεται ότι,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Για την εφαρμογή του ειδικού καθεστώτος επενδυτικού χρυσού, άρθρο 47 του Κώδικα ΦΠΑ, έχουν εκδοθεί οι αποφάσεις ΠΟΛ. 1193/2002 (ΦΕΚ 932 τ.Β) και Δ.1829/1124/2006 (ΦΕΚ 1851 τ.Β) και η σχετική εγκύκλιος Δ. 47/24/2007.</w:t>
      </w:r>
    </w:p>
    <w:p>
      <w:pPr>
        <w:spacing w:before="240" w:after="240"/>
        <w:rPr>
          <w:lang w:val="el" w:eastAsia="el"/>
        </w:rPr>
      </w:pPr>
      <w:r>
        <w:rPr>
          <w:lang w:val="el" w:eastAsia="el"/>
        </w:rPr>
        <w:t xml:space="preserve">Τέλος, σας υπενθυμίζουμε ότι σύμφωνα με το άρθρο 47 παρ. 5 του Κώδικα ΦΠΑ, στην περίπτωση πωλήσεων χρυσών νομισμάτων που πληρούν τα κριτήρια του άρθρου 47, παρ. 2, περ. β΄ του Κώδικα ΦΠΑ, υφίσταται η υποχρέωση των υποκείμενων </w:t>
      </w:r>
      <w:r>
        <w:rPr>
          <w:u w:val="single"/>
          <w:lang w:val="el" w:eastAsia="el"/>
        </w:rPr>
        <w:t>κάθε έτος</w:t>
      </w:r>
      <w:r>
        <w:rPr>
          <w:lang w:val="el" w:eastAsia="el"/>
        </w:rPr>
        <w:t xml:space="preserve"> να υποβάλλουν κατάλογο των νομισμάτων που πούλησαν στο Υπουργείο Οικονομικών και ειδικότερα στο Τμήμα Α «ΦΠΑ» της Υποδ/νσης Β΄ «Έμμεση Φορολογία» της Διεύθυνσης Φορολογικής Πολιτικής &amp; Νομοθεσίας. Στον κατάλογο θα πρέπει να αναφέρεται και η τελευταία τιμή που επιτεύχθηκε πριν την 1</w:t>
      </w:r>
      <w:r>
        <w:rPr>
          <w:sz w:val="30"/>
          <w:szCs w:val="30"/>
          <w:vertAlign w:val="superscript"/>
          <w:lang w:val="el" w:eastAsia="el"/>
        </w:rPr>
        <w:t>η</w:t>
      </w:r>
      <w:r>
        <w:rPr>
          <w:lang w:val="el" w:eastAsia="el"/>
        </w:rPr>
        <w:t xml:space="preserve"> Απριλίου εκάστου έτους.</w:t>
      </w:r>
    </w:p>
    <w:p>
      <w:pPr>
        <w:spacing w:before="240" w:after="240"/>
        <w:rPr>
          <w:lang w:val="el" w:eastAsia="el"/>
        </w:rPr>
      </w:pPr>
      <w:r>
        <w:rPr>
          <w:b/>
          <w:bCs/>
          <w:lang w:val="el" w:eastAsia="el"/>
        </w:rPr>
        <w:t>Συνημμένα: δεκατέσσερα (14) φύλλα</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Αικατερίνη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Γ΄ μόνο ο αριθ. 1.</w:t>
      </w:r>
    </w:p>
    <w:p>
      <w:pPr>
        <w:spacing w:before="240" w:after="240"/>
        <w:rPr>
          <w:lang w:val="el" w:eastAsia="el"/>
        </w:rPr>
      </w:pPr>
      <w:r>
        <w:rPr>
          <w:lang w:val="el" w:eastAsia="el"/>
        </w:rPr>
        <w:t>3. Αποδέκτες Πίνακα ΣΤ΄, μόνο οι αριθ. 1 και 3.</w:t>
      </w:r>
    </w:p>
    <w:p>
      <w:pPr>
        <w:spacing w:before="240" w:after="240"/>
        <w:rPr>
          <w:lang w:val="el" w:eastAsia="el"/>
        </w:rPr>
      </w:pPr>
      <w:r>
        <w:rPr>
          <w:lang w:val="el" w:eastAsia="el"/>
        </w:rPr>
        <w:t>4. Υπηρεσία TAXISnet για καταχώρηση στο διαδίκτυο.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Γ΄ οι αριθ. 2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9"/>
        <w:gridCol w:w="434"/>
        <w:gridCol w:w="434"/>
        <w:gridCol w:w="38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 3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bl>
    <w:p>
      <w:pPr>
        <w:spacing w:before="240" w:after="240"/>
        <w:rPr>
          <w:lang w:val="el" w:eastAsia="el"/>
        </w:rPr>
      </w:pPr>
      <w:r>
        <w:rPr>
          <w:lang w:val="el" w:eastAsia="el"/>
        </w:rPr>
        <w:t>8. Περιοδικό «ΦΟΡΟΛΟΓΙΚΗ ΕΠΙΘΕΩΡΗΣΗ».</w:t>
      </w:r>
    </w:p>
    <w:p>
      <w:pPr>
        <w:spacing w:before="240" w:after="240"/>
        <w:rPr>
          <w:lang w:val="el" w:eastAsia="el"/>
        </w:rPr>
      </w:pPr>
      <w:r>
        <w:rPr>
          <w:lang w:val="el" w:eastAsia="el"/>
        </w:rPr>
        <w:t>9. Τράπεζα της Ελλάδας. Διεύθυνση Εργασιών Δημοσίου, Διεύθυνση Ταμείων, Διεύθυνση Χρηματοοικονομικών Δραστηριοτήτων. Ελευθ. Βενιζέλου 21, ΤΚ. 102 50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κ. κ. Γενικών Διευθυντών.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Διεύθυνση Ηλεκτρονικής Διακυβέρνησης (e-εφαρμογές) (5).</w:t>
      </w:r>
    </w:p>
    <w:p>
      <w:pPr>
        <w:spacing w:before="240" w:after="240"/>
        <w:rPr>
          <w:lang w:val="el" w:eastAsia="el"/>
        </w:rPr>
      </w:pPr>
      <w:r>
        <w:rPr>
          <w:lang w:val="el" w:eastAsia="el"/>
        </w:rPr>
        <w:t>9. Διεύθυνση ΕΦΚ &amp; ΦΠΑ – Τμήμα Δ (10).</w:t>
      </w:r>
    </w:p>
    <w:p>
      <w:pPr>
        <w:spacing w:before="240" w:after="240"/>
        <w:rPr>
          <w:lang w:val="el" w:eastAsia="el"/>
        </w:rPr>
      </w:pPr>
      <w:r>
        <w:rPr>
          <w:lang w:val="el" w:eastAsia="el"/>
        </w:rPr>
        <w:t>10. Διεύθυνση Εφαρμογής Φορολογικής Πολιτικής και Νομοθεσίας Υποδιεύθυνση Β΄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