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 ΩΧΝΣΗ-ΕΧΝ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11 Μαΐου 2015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ΑΜΕΣΗΣ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ΠΟΛ: 1105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ΦΟΡΟΥ ΕΙΣΟΔΗΜΑΤΟΣ Φ.Π.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Καραγ.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κώδ.: 10184 -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Πληροφορίες: Ι. Φοβάκης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Τηλέφωνο: 210 33 75 314-6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Τηλεομ.: 210 33 75 001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Ηλ. ταχ/μείο: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d12.a@yo.syzefxis.gov.gr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της υπ. αριθ. 361/2014 Γνωμοδότησης του Νομικού Συμβουλίου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κοινοποιούμε, για ενημέρωσή σας, την υπ. αριθ. 361/2014 Γνωμοδότηση του Β΄ Τμήματος του Νομικού Συμβουλίου του Κράτους, η οποία έγινε αποδεκτή από τον κ. Υπουργό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Σύμφωνα με την ως άνω Γνωμοδότηση, τα στελέχη του πολιτικού προσωπικού του Ν.Α.Τ.Ο., τα οποία είναι φορολογικοί κάτοικοι Ελλάδας ή έχουν την ελληνική υπηκοότητα, υπόκεινται στην ειδική εισφορά αλληλεγγύης του άρθρου 29 του ν.3986/2011 (ΦΕΚ Α΄ 152) για τους μισθούς και τις εν γένει αποδοχές που λαμβάνουν από το Ν.Α.Τ.Ο.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 ΑΥΤΟΤΕΛΟΥΣ 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ΕΣΟΔΩΝΑΙΚ. ΣΑΒΒΑΪΔΟΥ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υπ. αριθ. 361/2014 Γνωμοδότηση του ΝΣΚ (05 φύλλα)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Λ', Β' (εκτός των αριθ. 1, 2, 3 και 5 αυτού), Η' (εκτός των αριθ. 4,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και 11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Νομικό Συμβούλιο του Κράτους, Ακαδημίας 68 - 106 78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Εσωτερικών Υποθέσεων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Περιφερειακές Επιχειρησιακές Διευθύνσεις ΣΔΟΕ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Δικηγορικοί Σύλλογοι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κας Αν.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Γεν. Γραμ.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Τύπου και Δημοσίων Σχέσεων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Επικοινωνίας και Πληροφόρησης Πολιτών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- Τμήμα Α' (20) - Τμήμα Β' (5)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2.a@yo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