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ΦΟΡΟΛ.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ΑΜΕΣΗΣ ΦΟΡΟΛΟΓΙΑΣ, TM.A’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101 84 ΑΘΗΝA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3375315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3375001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Θέμα:</w:t>
      </w:r>
      <w:r>
        <w:rPr>
          <w:b/>
          <w:bCs/>
          <w:lang w:val="el" w:eastAsia="el"/>
        </w:rPr>
        <w:t xml:space="preserve"> Οδηγίες σχετικά με τη φορολογική αντιμετώπιση των αμοιβών ή της αποζημίωσης εξόδων που καταβάλλονται σε υπαλλήλους που μετακινούνται σε άλλες υπηρεσίες κατ΄ εντολή του Δημοσίου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Ύστερα από ερωτήματα που έχουν γίνει στην υπηρεσία μας αναφορικά με το πιο πάνω θέμα, σας γνωρίζουμε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Σύμφωνα με τις διατάξεις της παρ. 1 του αρ. 12 του ν.4172/2013,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υφιστάμενης, παρελθούσας ή μελλοντικής εργασιακής σχέσης.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Με τις διατάξεις της παρ. 3 του ιδίου άρθρου και νόμου ορίζεται ότι ως ακαθάριστα εισοδήματα από μισθωτή εργασία και συντάξεις θεωρείται, μεταξύ άλλων, η αποζημίωση εξόδων στα οποία έχει υποβληθεί ο εργαζόμενος ή συγγενικό πρόσωπο του εργαζομένου.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Από τα έγγραφα ερωτήματα διαπιστώνεται ότι Δημόσιοι Υπάλληλοι ή γενικά μισθωτοί αποσπώνται από τις υπηρεσίες τους σε άλλες δημόσιες υπηρεσίες ως ειδικοί για την παρακολούθηση και τον έλεγχο έργων (εκτιμήσεις, πιστοποιήσεις κτλ.) και λαμβάνουν αποζημιώσεις εκτός έδρας ή αποζημιώσεις εξόδων τους είτε από τις νέες αυτές δημόσιες υπηρεσίες είτε από τρίτους (π.χ. από τον ΟΠΕΚΕΠΕ).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Από τα παραπάνω προκύπτει ότι οι αμοιβές αυτές (αποζημιώσεις) αποτελούν εισόδημα από μισθωτές υπηρεσίες (σύμφωνα με τις διατάξεις του αρ.12 του ν.4172/2013), χωρίς να εξετάζεται εάν καταβάλλονται από την υπηρεσία τους ή από άλλη υπηρεσία και κατά την καταβολή τους ενεργείται παρακράτηση 20% σύμφωνα με τις διατάξεις του αρ. 60 του ν.4172/2013.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Η Γεν. Γραμματέας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O Προϊσ/νος του Αυτ/λους Τμημ. Διοίκησης ΑΙΚ. ΣΑΒΒΑΪΔΟΥ </w:t>
      </w:r>
      <w:r>
        <w:rPr>
          <w:u w:val="single"/>
          <w:lang w:val="el" w:eastAsia="el"/>
        </w:rPr>
        <w:t>ΠΙΝΑΚΑΣ ΔΙΑΝΟΜΗΣ</w:t>
      </w:r>
      <w:r>
        <w:rPr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Δ.Ο.Υ</w:t>
      </w: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ΚΕΝΤΡΙΚΗ ΥΠΗΡΕΣΙΑ ΣΔΟΕ και ΠΕΡΙΦΕΡΕΙΑΚΕΣ Δ/ΝΣΕΙΣ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ΟΜΑΔΑ ΕΡΓΟΥ ΕΦΑΡΜΟΓΩΝ ΤΟΥ ΤΑΧΙΣ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Π.Ο.Ε. -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ΑΠΟΔΕΚΤΕΣ ΠΙΝΑΚΩΝ Α’ (εκτός 1 και 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ΑΠΟΔΕΚΤΕΣ ΠΙΝΑΚΩΝ Ι’, ΙΑ’, ΙΒ’ (εκτός 1), ΙΓ’, ΙΣΤ’, ΙΖ’, και ΙΗ’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ΑΠΟΔΕΚΤΕΣ ΠΙΝΑΚΩΝ ΚΒ’ και ΚΓ’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Υπουργείο Αγροτικής Ανάπτυξης &amp; Τροφίμων - Γεν. Γραμματεια Αγροτικής Πολιτικής &amp; Διαχείρισης Κοινοτικών Πόρων. Ειδική Υπηρεσία Εφαρμογής. Λ.Αθηνών 58 -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Ο.Π.Ε.Κ.Ε.Π.Ε., Δομοκού 5, 104 45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Αναπλ.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Γεν.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κ.κ. Γενικών Γραμματέων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Προϊσταμένους των Γενικών Δ/νσεων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Ειδικό Νομικό Γραφείο Φορ/γίας, Ακαδημίας 68 &amp; Χαρ. Τρικούπη - 10678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 (20)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Γραφείο Επικοινωνίας και Δημοσίων Σχέσεων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Υποδιεύθυνση Α’-Άμεσης Φορολογίας Τμήματα Α’ (10), Β’ (3)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Ηλεκτρονικής Διακυβέρνησης ΓΓΔΕ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