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lang w:val="el" w:eastAsia="el"/>
        </w:rPr>
        <w:t>Α ΣΤΟ ΔΙΑΔΙΚΤΥΟ</w:t>
      </w:r>
    </w:p>
    <w:p>
      <w:pPr>
        <w:spacing w:before="240" w:after="240"/>
        <w:rPr>
          <w:lang w:val="el" w:eastAsia="el"/>
        </w:rPr>
      </w:pPr>
      <w:r>
        <w:rPr>
          <w:lang w:val="el" w:eastAsia="el"/>
        </w:rPr>
        <w:t>Αθήνα, 15 Ιουνίου 2015</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Πληροφορίες: Κ. Παναγοπούλου, Ε. Καπούτσου</w:t>
      </w:r>
    </w:p>
    <w:p>
      <w:pPr>
        <w:spacing w:before="240" w:after="240"/>
        <w:rPr>
          <w:lang w:val="el" w:eastAsia="el"/>
        </w:rPr>
      </w:pPr>
      <w:r>
        <w:rPr>
          <w:lang w:val="el" w:eastAsia="el"/>
        </w:rPr>
        <w:t>Τηλέφωνο : 210 3375325, 318, 312</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ΘΕΜΑ: Κοινοποίηση των διατάξεων του άρθρου 29 του ν.4313/2014 (ΦΕΚ 261 Α’/17.12.2014).</w:t>
      </w:r>
    </w:p>
    <w:p>
      <w:pPr>
        <w:spacing w:before="240" w:after="240"/>
        <w:rPr>
          <w:lang w:val="el" w:eastAsia="el"/>
        </w:rPr>
      </w:pPr>
      <w:r>
        <w:rPr>
          <w:lang w:val="el" w:eastAsia="el"/>
        </w:rPr>
        <w:t>Σας κοινοποιούμε τις διατάξεις της παρ. 2 του άρθρου 29 του ν. 4313/2014 (ΦΕΚ 261 Α’) «Ρυθμίσεις θεμάτων μεταφορών, τηλεπικοινωνιών και δημοσίων έργων και άλλες διατάξεις» και σας γνωρίζουμε τα ακόλουθα για την ορθή εφαρμογή τους στις σχετικές περιπτώσεις:</w:t>
      </w:r>
    </w:p>
    <w:p>
      <w:pPr>
        <w:spacing w:before="240" w:after="240"/>
        <w:rPr>
          <w:lang w:val="el" w:eastAsia="el"/>
        </w:rPr>
      </w:pPr>
      <w:r>
        <w:rPr>
          <w:lang w:val="el" w:eastAsia="el"/>
        </w:rPr>
        <w:t xml:space="preserve">1. Με τις εν λόγω διατάξεις η οριζόμενη προθεσμία στο τελευταίο εδάφιο των παρ. 1 και 2 του άρθρου 10 του ν.2579/1998, σχετικά με τη φορολογία μεταβίβασης των αυτοκινήτων δημόσιας χρήσης (ΤΑΞΙ, τουριστικά λεωφορεία, λεωφορεία ενταγμένα σε ΚΤΕΛ, λεωφορεία που ανήκουν στον Οργανισμό Αστικών Συγκοινωνιών Θεσσαλονίκης), </w:t>
      </w:r>
      <w:r>
        <w:rPr>
          <w:u w:val="single"/>
          <w:lang w:val="el" w:eastAsia="el"/>
        </w:rPr>
        <w:t>παρατάθηκε έως 31 Δεκεμβρίου 2016</w:t>
      </w:r>
      <w:r>
        <w:rPr>
          <w:lang w:val="el" w:eastAsia="el"/>
        </w:rPr>
        <w:t>. Κατά συνέπεια, σε κάθε μεταβίβαση των πιο πάνω αυτοκινήτων δημόσιας χρήσης από επαχθή αιτία, περιλαμβανομένης και της ανταλλαγής τους, καταβάλλονται, πριν από τη μεταβίβασή τους, τα εφάπαξ πάγια ποσά φόρου που προβλέπονται από τις διατάξεις του άρθρου 10 του ν.2579/1998, για την άδεια κυκλοφορίας και το όχημα, αντίστοιχα.</w:t>
      </w:r>
    </w:p>
    <w:p>
      <w:pPr>
        <w:spacing w:before="240" w:after="240"/>
        <w:rPr>
          <w:lang w:val="el" w:eastAsia="el"/>
        </w:rPr>
      </w:pPr>
      <w:r>
        <w:rPr>
          <w:lang w:val="el" w:eastAsia="el"/>
        </w:rPr>
        <w:t>2. Επίσης, δεδομένου ότι οι διατάξεις του άρθρου 10 του ν. 2579/1998 κατισχύουν, ως ειδικότερες, σε σχέση με τις διατάξεις του ν. 4172/2013 (Κώδικας Φορολογίας Εισοδήματος), προκύπτει ότι με την καταβολή των πιο πάνω ποσών φόρου δεν έχουν περαιτέρω εφαρμογή οι διατάξεις του ν. 4172/2013 στις πωλήτριες επιχειρήσεις για την υπεραξία που προκύπτει από τη μεταβίβαση της άδειας κυκλοφορίας και του οχήματος, αντίστοιχα, με την επιφύλαξη των διατάξεων του δεύτερου εδαφίου της παρ. 1 του άρθρου 47 του ίδιου νόμου. Κατά συνέπεια, η κατά τα ανωτέρω υπεραξία που προκύπτει από τα βιβλία των νομικών προσώπων και νομικών οντοτήτων του άρθρου 45 του ν. 4172/2013 κατά την πώληση αυτοκινήτου δημόσιας χρήσης θα αφαιρεθεί, προκειμένου για τον προσδιορισμό των φορολογητέων αποτελεσμάτων τους, από τα κέρδη των εν λόγω προσώπων και θα καταχωρηθεί στον κωδικό 465 του εντύπου Ν (δήλωση φορολογίας εισοδήματος νομικών προσώπων και νομικών οντοτήτων). Περαιτέρω, σε περίπτωση διανομής ή κεφαλαιοποίησης των εν λόγω ποσών (υπεραξία) έχουν εφαρμογή οι διατάξεις του άρθρου 47 και όσα σχετικά αναφέρονται στην ΠΟΛ. 1059/18.03.2015 εγκύκλιό μας και τα υπόψη ποσά δηλώνονται στους κωδικούς 382 ή 385, κατά περίπτωση. Είναι αυτονόητο ότι από τον οφειλόμενο κατά τα ανωτέρω φόρο εκπίπτει ο φόρος που καταβλήθηκε σύμφωνα με τις διατάξεις του άρθρου 10 του ν. 2579/1998 και αναλογεί στα διανεμόμενα ή κεφαλαιοποιούμενα ποσά. Το σχετικό ποσό δηλώνεται στον κωδικό 009 του εντύπου Ν.</w:t>
      </w:r>
    </w:p>
    <w:p>
      <w:pPr>
        <w:spacing w:before="240" w:after="240"/>
        <w:rPr>
          <w:lang w:val="el" w:eastAsia="el"/>
        </w:rPr>
      </w:pPr>
      <w:r>
        <w:rPr>
          <w:lang w:val="el" w:eastAsia="el"/>
        </w:rPr>
        <w:t>Επιπλέον, όσον αφορά στις ατομικές επιχειρήσεις, σε όσες περιπτώσεις η υπεραξία που προκύπτει, κατά την πώληση αυτοκινήτου δημόσιας χρήσης, έχει καταχωρηθεί στα βιβλία της ατομικής επιχείρησης και έχει ληφθεί υπόψη για τον προσδιορισμό του λογιστικού αποτελέσματος, αναγράφεται στον κωδ. 325 του Πίνακα Ζ’ του Εντύπου Ε3, προκειμένου να αφαιρεθεί από τα λογιστικά κέρδη αυτής και να μη συμπεριληφθεί στα καθαρά φορολογητέα αποτελέσματα που θα μεταφερθούν στη δήλωση φορολογίας εισοδήματος (έντυπο Ε1), κατ’ εφαρμογή όσων αναφέρθηκαν ανωτέρω.</w:t>
      </w:r>
    </w:p>
    <w:p>
      <w:pPr>
        <w:spacing w:before="240" w:after="240"/>
        <w:rPr>
          <w:lang w:val="el" w:eastAsia="el"/>
        </w:rPr>
      </w:pPr>
      <w:r>
        <w:rPr>
          <w:lang w:val="el" w:eastAsia="el"/>
        </w:rPr>
        <w:t>3. Διευκρινίζεται ότι τα πιο πάνω αναφερόμενα σχετικά με τη μη περαιτέρω φορολόγηση της υπεραξίας που προκύπτει από τη μεταβίβαση της άδειας κυκλοφορίας και του οχήματος, αντίστοιχα, εφόσον έχουν καταβληθεί τα ποσά φόρου του άρθρου 10 του ν.2579/1998, εφαρμόζονται και για την υπεραξία που προκύπτει από τη μεταβίβαση μετοχών ανώνυμων εταιρειών ΚΤΕΛ, όταν η μετοχική ιδιότητα μεταβιβάζεται ταυτόχρονα με τη μεταβίβαση του λεωφορείου δημόσιας χρήσης, κυριότητας του μεταβιβάζοντος μετόχου (φυσικού ή νομικού προσώπου), σύμφωνα με τις διατάξεις της παρ. 5 του άρθρου 3 του ν.2963/2001, καθώς και για την υπεραξία που προκύπτει όταν η μεταβίβαση του οχήματος δημόσιας χρήσης και της άδειας κυκλοφορίας του συνεπάγεται τη μεταβίβαση ολόκληρης της ατομικής επιχείρησης.</w:t>
      </w:r>
    </w:p>
    <w:p>
      <w:pPr>
        <w:spacing w:before="240" w:after="240"/>
        <w:rPr>
          <w:lang w:val="el" w:eastAsia="el"/>
        </w:rPr>
      </w:pPr>
      <w:r>
        <w:rPr>
          <w:lang w:val="el" w:eastAsia="el"/>
        </w:rPr>
        <w:t>4. Τέλος, επισημαίνεται ότι, παρά το γεγονός πως οι διατάξεις του άρθρου 29 του ν.4313/2014 ψηφίστηκαν το Δεκέμβριο του 2014, παρατάθηκε η προθεσμία ισχύος του άρθρου 10 του ν.2579/1998 από τότε που έληξε και κατά συνέπεια, οι πωλήτριες επιχειρήσεις οι οποίες πραγματοποίησαν μεταβίβαση αυτοκινήτου δημόσιας χρήσης μέσα στο έτος 2014, χωρίς να καταβάλουν τα ποσά του εν λόγω νόμου, καλούνται να προσέλθουν στην αρμόδια για τη φορολογία του εισοδήματός τους Δ.Ο.Υ. και να υποβάλουν την προβλεπόμενη από τις διατάξεις του άρθρου 10 δήλωση, καταβάλλοντας τα σχετικά αναλογούντα ποσά έως τις 30.09.2015, χωρίς την επιβολή κυρώσεων.</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ΣΥΝΗΜΜΕΝΑ</w:t>
      </w:r>
      <w:r>
        <w:rPr>
          <w:b/>
          <w:bCs/>
          <w:lang w:val="el" w:eastAsia="el"/>
        </w:rPr>
        <w:t>: Άρθρο 29 ν.4313/2014 (ΦΕΚ 261 Α’/17.12.2014)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3. Δ/νση Ηλεκτρονικής Διακυβέρνησης Γ.Γ.Δ.Ε</w:t>
      </w:r>
    </w:p>
    <w:p>
      <w:pPr>
        <w:spacing w:before="240" w:after="240"/>
        <w:rPr>
          <w:lang w:val="el" w:eastAsia="el"/>
        </w:rPr>
      </w:pPr>
      <w:r>
        <w:rPr>
          <w:lang w:val="el" w:eastAsia="el"/>
        </w:rPr>
        <w:t>4. Υπουργείο Υποδομών, Μεταφορών και Δικτύων – Γενική Δ/νση Μεταφορών – Αναστάσεως 2 και Τσιγάντε, 101 91 Παπάγου (με την παράκληση να ενημερωθούν οι Περιφερειακές Δ/νσεις Μεταφορών)</w:t>
      </w:r>
    </w:p>
    <w:p>
      <w:pPr>
        <w:spacing w:before="240" w:after="240"/>
        <w:rPr>
          <w:lang w:val="el" w:eastAsia="el"/>
        </w:rPr>
      </w:pPr>
      <w:r>
        <w:rPr>
          <w:lang w:val="el" w:eastAsia="el"/>
        </w:rPr>
        <w:t>5. Πανελλαδική Ομοσπονδία Αυτοκινητιστών Υπεραστικών Συγκοινωνιών – Πειραιώς 4, 104 31, Αθήνα</w:t>
      </w:r>
    </w:p>
    <w:p>
      <w:pPr>
        <w:spacing w:before="240" w:after="240"/>
        <w:rPr>
          <w:lang w:val="el" w:eastAsia="el"/>
        </w:rPr>
      </w:pPr>
      <w:r>
        <w:rPr>
          <w:lang w:val="el" w:eastAsia="el"/>
        </w:rPr>
        <w:t>6. Συμβολαιογραφικός Σύλλογος Εφετείου Θεσσαλονίκης - Αριστοτέλους 22, 546 23, Θεσσαλονίκη</w:t>
      </w:r>
    </w:p>
    <w:p>
      <w:pPr>
        <w:spacing w:before="240" w:after="240"/>
        <w:rPr>
          <w:lang w:val="el" w:eastAsia="el"/>
        </w:rPr>
      </w:pPr>
      <w:r>
        <w:rPr>
          <w:lang w:val="el" w:eastAsia="el"/>
        </w:rPr>
        <w:t>7. Γενική Πανελλαδική Ομοσπονδία Επιχειρήσεων Τουρισμού – Παναπιστημίου 57, 105 64, Αθήνα</w:t>
      </w:r>
    </w:p>
    <w:p>
      <w:pPr>
        <w:spacing w:before="240" w:after="240"/>
        <w:rPr>
          <w:lang w:val="el" w:eastAsia="el"/>
        </w:rPr>
      </w:pPr>
      <w:r>
        <w:rPr>
          <w:lang w:val="el" w:eastAsia="el"/>
        </w:rPr>
        <w:t>8. Νικόλαος Δημόπουλος – Ναυπλίου 148, 221 00, Τρίπολη</w:t>
      </w:r>
    </w:p>
    <w:p>
      <w:pPr>
        <w:spacing w:before="240" w:after="240"/>
        <w:rPr>
          <w:lang w:val="el" w:eastAsia="el"/>
        </w:rPr>
      </w:pPr>
      <w:r>
        <w:rPr>
          <w:lang w:val="el" w:eastAsia="el"/>
        </w:rPr>
        <w:t>9. HBP Ορκωτοί Ελεγκτές – Λογιστές ΕΠΕ – Ιφιγένειας 81 και Βελικοπούλου, Νέα Ιωνία – Αττική, 142 31, Ελλάδα</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Αυτοτελές Τμήμα Νομικής Υποστήριξης Γ.Γ.Δ.Ε</w:t>
      </w:r>
    </w:p>
    <w:p>
      <w:pPr>
        <w:spacing w:before="240" w:after="240"/>
        <w:rPr>
          <w:lang w:val="el" w:eastAsia="el"/>
        </w:rPr>
      </w:pPr>
      <w:r>
        <w:rPr>
          <w:lang w:val="el" w:eastAsia="el"/>
        </w:rPr>
        <w:t>8. Όλες τις Φορολογικές Διευθύνσεις και Τμήματα</w:t>
      </w:r>
    </w:p>
    <w:p>
      <w:pPr>
        <w:spacing w:before="240" w:after="240"/>
        <w:rPr>
          <w:lang w:val="el" w:eastAsia="el"/>
        </w:rPr>
      </w:pPr>
      <w:r>
        <w:rPr>
          <w:lang w:val="el" w:eastAsia="el"/>
        </w:rPr>
        <w:t>9. Διεύθυνση Εφαρμογής Άμεσης Φορολογίας – Τμήμα Α’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