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Αθήνα, 16 Ιουνίου 2015</w:t>
      </w:r>
    </w:p>
    <w:p>
      <w:pPr>
        <w:pStyle w:val="PreambelText"/>
        <w:spacing w:before="240" w:after="240"/>
        <w:rPr>
          <w:lang w:val="el" w:eastAsia="el"/>
        </w:rPr>
      </w:pPr>
      <w:r>
        <w:rPr>
          <w:lang w:val="el" w:eastAsia="el"/>
        </w:rPr>
        <w:t>Αριθ.Πρωτ:ΠΟΛ. 1125</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w:t>
      </w:r>
    </w:p>
    <w:p>
      <w:pPr>
        <w:pStyle w:val="PreambelText"/>
        <w:spacing w:before="240" w:after="240"/>
        <w:rPr>
          <w:lang w:val="el" w:eastAsia="el"/>
        </w:rPr>
      </w:pPr>
      <w:r>
        <w:rPr>
          <w:b/>
          <w:bCs/>
          <w:lang w:val="el" w:eastAsia="el"/>
        </w:rPr>
        <w:t>ΕΣΟΔΩΝ</w:t>
      </w:r>
    </w:p>
    <w:p>
      <w:pPr>
        <w:pStyle w:val="PreambelText"/>
        <w:spacing w:before="240" w:after="240"/>
        <w:rPr>
          <w:lang w:val="el" w:eastAsia="el"/>
        </w:rPr>
      </w:pPr>
      <w:r>
        <w:rPr>
          <w:b/>
          <w:bCs/>
          <w:lang w:val="el" w:eastAsia="el"/>
        </w:rPr>
        <w:t>ΓΕΝΙΚΗ Δ/ΝΣΗ ΦΟΡΟΛΟΓΙΚΗΣ ΔΙΟΙΚΗΣΗΣ Δ/ΝΣΗ ΕΦΑΡΜΟΓΗΣ ΕΜΜΕΣΗΣ ΦΟΡΟΛΟΓΙΑΣ</w:t>
      </w:r>
    </w:p>
    <w:p>
      <w:pPr>
        <w:pStyle w:val="Heading1"/>
        <w:spacing w:before="240" w:after="240"/>
        <w:rPr>
          <w:lang w:val="el" w:eastAsia="el"/>
        </w:rPr>
      </w:pPr>
      <w:r>
        <w:rPr>
          <w:b/>
          <w:bCs/>
          <w:lang w:val="el" w:eastAsia="el"/>
        </w:rPr>
        <w:t xml:space="preserve">ΤΜΗΜΑ Β΄ </w:t>
      </w:r>
    </w:p>
    <w:p>
      <w:pPr>
        <w:pStyle w:val="Heading1"/>
        <w:spacing w:before="240" w:after="240"/>
        <w:rPr>
          <w:lang w:val="el" w:eastAsia="el"/>
        </w:rPr>
      </w:pPr>
      <w:r>
        <w:rPr>
          <w:b/>
          <w:bCs/>
          <w:lang w:val="el" w:eastAsia="el"/>
        </w:rPr>
        <w:t>ΤΕΛΩΝ &amp; ΕΙΔΙΚΩΝ</w:t>
      </w:r>
    </w:p>
    <w:p>
      <w:pPr>
        <w:spacing w:before="240" w:after="240"/>
        <w:rPr>
          <w:lang w:val="el" w:eastAsia="el"/>
        </w:rPr>
      </w:pPr>
      <w:r>
        <w:rPr>
          <w:b/>
          <w:bCs/>
          <w:lang w:val="el" w:eastAsia="el"/>
        </w:rPr>
        <w:t>ΦΟΡΟΛΟΓΙΩΝ</w:t>
      </w:r>
    </w:p>
    <w:p>
      <w:pPr>
        <w:spacing w:before="240" w:after="240"/>
        <w:rPr>
          <w:lang w:val="el" w:eastAsia="el"/>
        </w:rPr>
      </w:pPr>
      <w:r>
        <w:rPr>
          <w:b/>
          <w:bCs/>
          <w:lang w:val="el" w:eastAsia="el"/>
        </w:rPr>
        <w:t>Ταχ. Δ/νση: Σίνα 2-4</w:t>
      </w:r>
    </w:p>
    <w:p>
      <w:pPr>
        <w:spacing w:before="240" w:after="240"/>
        <w:rPr>
          <w:lang w:val="el" w:eastAsia="el"/>
        </w:rPr>
      </w:pPr>
      <w:r>
        <w:rPr>
          <w:b/>
          <w:bCs/>
          <w:lang w:val="el" w:eastAsia="el"/>
        </w:rPr>
        <w:t>Τ.Κ:10672 ΑΘΗΝΑ</w:t>
      </w:r>
    </w:p>
    <w:p>
      <w:pPr>
        <w:spacing w:before="240" w:after="240"/>
        <w:rPr>
          <w:lang w:val="el" w:eastAsia="el"/>
        </w:rPr>
      </w:pPr>
      <w:r>
        <w:rPr>
          <w:b/>
          <w:bCs/>
          <w:lang w:val="el" w:eastAsia="el"/>
        </w:rPr>
        <w:t>Πληροφορίες: Σ. Κολιοπούλου</w:t>
      </w:r>
    </w:p>
    <w:p>
      <w:pPr>
        <w:spacing w:before="240" w:after="240"/>
        <w:rPr>
          <w:lang w:val="el" w:eastAsia="el"/>
        </w:rPr>
      </w:pPr>
      <w:r>
        <w:rPr>
          <w:b/>
          <w:bCs/>
          <w:lang w:val="el" w:eastAsia="el"/>
        </w:rPr>
        <w:t>Τηλ.: 210 3642922</w:t>
      </w:r>
    </w:p>
    <w:p>
      <w:pPr>
        <w:spacing w:before="240" w:after="240"/>
        <w:rPr>
          <w:lang w:val="el" w:eastAsia="el"/>
        </w:rPr>
      </w:pPr>
      <w:r>
        <w:rPr>
          <w:b/>
          <w:bCs/>
          <w:lang w:val="el" w:eastAsia="el"/>
        </w:rPr>
        <w:t>ΘΕΜΑ: Τέλη Χαρτοσήμου κατά την εξόφληση των πρόσθετων φόρων και προστίμων.</w:t>
      </w:r>
    </w:p>
    <w:p>
      <w:pPr>
        <w:spacing w:before="240" w:after="240"/>
        <w:rPr>
          <w:lang w:val="el" w:eastAsia="el"/>
        </w:rPr>
      </w:pPr>
      <w:r>
        <w:rPr>
          <w:lang w:val="el" w:eastAsia="el"/>
        </w:rPr>
        <w:t>Με αφορμή πλήθος ερωτημάτων, τα οποία υποβάλλονται στην υπηρεσία μας, αναφορικά με το θέμα, διευκρινίζουμε τα εξής:</w:t>
      </w:r>
    </w:p>
    <w:p>
      <w:pPr>
        <w:spacing w:before="240" w:after="240"/>
        <w:rPr>
          <w:lang w:val="el" w:eastAsia="el"/>
        </w:rPr>
      </w:pPr>
      <w:r>
        <w:rPr>
          <w:lang w:val="el" w:eastAsia="el"/>
        </w:rPr>
        <w:t>1. Σύμφωνα με τις διατάξεις, του πρώτου εδαφίου της παρ. 19 του άρθρου 15 του Κώδικα Τελών Χαρτοσήμου, ορίζεται ρητά, ότι κάθε απόδειξη που εκδίδεται από τη Φορολογική Διοίκηση και για πληρωμή που ενεργείται για το Δημόσιο, υπόκειται σε τέλος χαρτοσήμου 2% (πλέον εισφορά ΟΓΑ 20% ) εφόσον δεν προβλέπεται από άλλες διατάξεις του Κώδικα Τελών Χαρτοσήμου μεγαλύτερο ή μικρότερο τέλος ή ατέλεια.</w:t>
      </w:r>
    </w:p>
    <w:p>
      <w:pPr>
        <w:spacing w:before="240" w:after="240"/>
        <w:rPr>
          <w:lang w:val="el" w:eastAsia="el"/>
        </w:rPr>
      </w:pPr>
      <w:r>
        <w:rPr>
          <w:lang w:val="el" w:eastAsia="el"/>
        </w:rPr>
        <w:t>Εξάλλου σύμφωνα με τις διατάξεις του δεύτερου εδαφίου της ίδιας ως άνω παραγράφου 19 του άρθρου 15 του Κώδικα Τελών Χαρτοσήμου δεν υπόκεινται σε τέλη χαρτοσήμου τα αποδεικτικά καταβολής φόρων γενικά, τελών, δικαιωμάτων, εισφορών και δασμών υπέρ του Δημοσίου, τόσο για το ποσό της κύριας οφειλής, όσο και για την τυχόν προσαύξηση ή το πρόστιμο ή τους τόκους κ.λ.π.</w:t>
      </w:r>
    </w:p>
    <w:p>
      <w:pPr>
        <w:spacing w:before="240" w:after="240"/>
        <w:rPr>
          <w:lang w:val="el" w:eastAsia="el"/>
        </w:rPr>
      </w:pPr>
      <w:r>
        <w:rPr>
          <w:lang w:val="el" w:eastAsia="el"/>
        </w:rPr>
        <w:t>2. Όπως έχει γίνει δεκτό από τη Διοίκηση (Ν.Σ.Κ. Ολομ.757/1977,ΥΠΟΙΚ.Τ 219/27/ΠΟΛ.9/1978, εγκύκλιος 9/Σ.1786/258/1982, 1003048/40/Τ.&amp;Ε.Φ./</w:t>
      </w:r>
    </w:p>
    <w:p>
      <w:pPr>
        <w:spacing w:before="240" w:after="240"/>
        <w:rPr>
          <w:lang w:val="el" w:eastAsia="el"/>
        </w:rPr>
      </w:pPr>
      <w:r>
        <w:rPr>
          <w:lang w:val="el" w:eastAsia="el"/>
        </w:rPr>
        <w:t xml:space="preserve">ΠΟΛ.1004/7.1.1998), τα αποδεικτικά καταβολής προσαυξήσεων και προστίμων, απαλλάσσονται από τα κατά τα ανωτέρω </w:t>
      </w:r>
      <w:r>
        <w:rPr>
          <w:u w:val="single"/>
          <w:lang w:val="el" w:eastAsia="el"/>
        </w:rPr>
        <w:t>τέλη χαρτοσήμου μόνο εφόσον αυτά είναι παρακολούθημα κύριας φορολογικής οφειλής.</w:t>
      </w:r>
    </w:p>
    <w:p>
      <w:pPr>
        <w:spacing w:before="240" w:after="240"/>
        <w:rPr>
          <w:lang w:val="el" w:eastAsia="el"/>
        </w:rPr>
      </w:pPr>
      <w:r>
        <w:rPr>
          <w:lang w:val="el" w:eastAsia="el"/>
        </w:rPr>
        <w:t>Αντίθετα, τα αυτοτελή πρόστιμα, τα οποία δεν είναι παρεπόμενα κύριας οφειλής, φόρων, τελών, δικαιωμάτων, εισφορών και δασμών υπέρ του Δημοσίου , υπόκεινται κατά την εξόφλησή τους σε τέλη χαρτοσήμου 2% (πλέον εισφορά ΟΓΑ 20%) σύμφωνα με την προαναφερθείσα διάταξη του άρθρου 15 παρ. 19 του Κώδικα Τελών Χαρτοσήμου.</w:t>
      </w:r>
    </w:p>
    <w:p>
      <w:pPr>
        <w:spacing w:before="240" w:after="240"/>
        <w:rPr>
          <w:lang w:val="el" w:eastAsia="el"/>
        </w:rPr>
      </w:pPr>
      <w:r>
        <w:rPr>
          <w:lang w:val="el" w:eastAsia="el"/>
        </w:rPr>
        <w:t>3. Με βάση τα ανωτέρω, ως προς τα επιβαλλόμενα πρόστιμα με τις διατάξεις των άρθρων 54,55 και 56 του ΚΦΔ , που αφορούν αντίστοιχα σε επιβολή κυρώσεων για διαδικαστικές παραβάσεις, παραβάσεις φοροδιαφυγής καθώς και πρόστιμο εκπρόθεσμης υποβολής ή μη υποβολής Συνοπτικού Πίνακα Πληροφοριών διευκρινίζεται ότι, οι αποδείξεις πληρωμής αυτών υπόκεινται σε τέλος χαρτοσήμου, σύμφωνα με την προαναφερθείσα διάταξη του πρώτου εδαφίου της παρ. 19 του άρθρου 15 του Κώδικα Τελών Χαρτοσήμου καθώς δεν είναι παρεπόμενα κύριας οφειλής. Αντίθετα, δεν υπόκεινται σε τέλος χαρτοσήμου τα πρόστιμα των άρθρων 58 και 59 του ΚΦΔ, καθώς δεν έχουν αυτοτέλεια, αλλά αποτελούν παρακολούθημα κύριας φορολογικής οφειλής.</w:t>
      </w:r>
    </w:p>
    <w:p>
      <w:pPr>
        <w:spacing w:before="240" w:after="240"/>
        <w:rPr>
          <w:lang w:val="el" w:eastAsia="el"/>
        </w:rPr>
      </w:pPr>
      <w:r>
        <w:rPr>
          <w:lang w:val="el" w:eastAsia="el"/>
        </w:rPr>
        <w:t>Ως προς τους πρόσθετους φόρους και τα πρόστιμα, που επιβάλλονται με τις διατάξεις του ν. 2523/1997, τυγχάνουν εφαρμογής οι οδηγίες που έχουν παρασχεθεί με την με αρ. πρωτ. 1003048/40/Τ &amp; ΕΦ/ΠΟΛ. 1004/7-1-1998 Εγκύκλιό μας.</w:t>
      </w:r>
    </w:p>
    <w:p>
      <w:pPr>
        <w:spacing w:before="240" w:after="240"/>
        <w:rPr>
          <w:lang w:val="el" w:eastAsia="el"/>
        </w:rPr>
      </w:pPr>
      <w:r>
        <w:rPr>
          <w:lang w:val="el" w:eastAsia="el"/>
        </w:rPr>
        <w:t>ΑΚΡΙΒΕΣ ΑΝΤΙΓΡΑΦΟ</w:t>
      </w:r>
    </w:p>
    <w:p>
      <w:pPr>
        <w:spacing w:before="240" w:after="240"/>
        <w:rPr>
          <w:lang w:val="el" w:eastAsia="el"/>
        </w:rPr>
      </w:pPr>
      <w:r>
        <w:rPr>
          <w:lang w:val="el" w:eastAsia="el"/>
        </w:rPr>
        <w:t>Ο ΠΡΟΪΣΤΑΜΕΝΟΣ ΤΟΥ ΑΥΤΟΤΕΛΟΥΣ ΤΜΗΜΑΤΟΣ ΔΙΟΙΚΗΣΗΣ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ΑΠΟΔΕΚΤΕΣ ΓΙΑ ΕΝΕΡΓΕΙΑ</w:t>
      </w:r>
    </w:p>
    <w:p>
      <w:pPr>
        <w:spacing w:before="240" w:after="240"/>
        <w:rPr>
          <w:lang w:val="el" w:eastAsia="el"/>
        </w:rPr>
      </w:pPr>
      <w:r>
        <w:rPr>
          <w:lang w:val="el" w:eastAsia="el"/>
        </w:rPr>
        <w:t xml:space="preserve">1 </w:t>
      </w:r>
      <w:r>
        <w:rPr>
          <w:b/>
          <w:bCs/>
          <w:lang w:val="el" w:eastAsia="el"/>
        </w:rPr>
        <w:t>.</w:t>
      </w:r>
      <w:r>
        <w:rPr>
          <w:lang w:val="el" w:eastAsia="el"/>
        </w:rPr>
        <w:t>Αποδέκτες Πίνακα Α΄(εκτός του αρ. 4 αυτού).</w:t>
      </w:r>
    </w:p>
    <w:p>
      <w:pPr>
        <w:spacing w:before="240" w:after="240"/>
        <w:rPr>
          <w:lang w:val="el" w:eastAsia="el"/>
        </w:rPr>
      </w:pPr>
      <w:r>
        <w:rPr>
          <w:lang w:val="el" w:eastAsia="el"/>
        </w:rPr>
        <w:t>2. Αποδέκτες Πίνακα Β΄ (εκτός του αρ. 2 αυτού).</w:t>
      </w:r>
    </w:p>
    <w:p>
      <w:pPr>
        <w:spacing w:before="240" w:after="240"/>
        <w:rPr>
          <w:lang w:val="el" w:eastAsia="el"/>
        </w:rPr>
      </w:pPr>
      <w:r>
        <w:rPr>
          <w:lang w:val="el" w:eastAsia="el"/>
        </w:rPr>
        <w:t>3. Αποδέκτες Πίνακα ΣΤ΄(εκτός του αρ. 4,6 αυτού).</w:t>
      </w:r>
    </w:p>
    <w:p>
      <w:pPr>
        <w:spacing w:before="240" w:after="240"/>
        <w:rPr>
          <w:lang w:val="el" w:eastAsia="el"/>
        </w:rPr>
      </w:pPr>
      <w:r>
        <w:rPr>
          <w:lang w:val="el" w:eastAsia="el"/>
        </w:rPr>
        <w:t xml:space="preserve">Il. </w:t>
      </w:r>
      <w:r>
        <w:rPr>
          <w:b/>
          <w:bCs/>
          <w:lang w:val="el" w:eastAsia="el"/>
        </w:rPr>
        <w:t>ΑΠΟΔΕΚΤΕΣ ΓΙΑ ΚΟΙΝΟΠΟΙΗΣΗ</w:t>
      </w:r>
    </w:p>
    <w:p>
      <w:pPr>
        <w:spacing w:before="240" w:after="240"/>
        <w:rPr>
          <w:lang w:val="el" w:eastAsia="el"/>
        </w:rPr>
      </w:pPr>
      <w:r>
        <w:rPr>
          <w:lang w:val="el" w:eastAsia="el"/>
        </w:rPr>
        <w:t>Αποδέκτες Πίνακα Η΄ (εκτός των αρ. 10 &amp; 11 αυτού).</w:t>
      </w:r>
    </w:p>
    <w:p>
      <w:pPr>
        <w:spacing w:before="240" w:after="240"/>
        <w:rPr>
          <w:lang w:val="el" w:eastAsia="el"/>
        </w:rPr>
      </w:pPr>
      <w:r>
        <w:rPr>
          <w:lang w:val="el" w:eastAsia="el"/>
        </w:rPr>
        <w:t xml:space="preserve">III. </w:t>
      </w:r>
      <w:r>
        <w:rPr>
          <w:b/>
          <w:bCs/>
          <w:lang w:val="el" w:eastAsia="el"/>
        </w:rPr>
        <w:t>ΕΣΩΤΕΡΙΚΗ ΔΙΑΝΟΜΗ</w:t>
      </w:r>
    </w:p>
    <w:p>
      <w:pPr>
        <w:spacing w:before="240" w:after="240"/>
        <w:rPr>
          <w:lang w:val="el" w:eastAsia="el"/>
        </w:rPr>
      </w:pPr>
      <w:r>
        <w:rPr>
          <w:lang w:val="el" w:eastAsia="el"/>
        </w:rPr>
        <w:t>1. Γραφείο Αναπληρώτριας Υπουργού.</w:t>
      </w:r>
    </w:p>
    <w:p>
      <w:pPr>
        <w:spacing w:before="240" w:after="240"/>
        <w:rPr>
          <w:lang w:val="el" w:eastAsia="el"/>
        </w:rPr>
      </w:pPr>
      <w:r>
        <w:rPr>
          <w:lang w:val="el" w:eastAsia="el"/>
        </w:rPr>
        <w:t>2. Γραφείο Γενικής Γραμματέως Δημοσίων Εσόδων.</w:t>
      </w:r>
    </w:p>
    <w:p>
      <w:pPr>
        <w:spacing w:before="240" w:after="240"/>
        <w:rPr>
          <w:lang w:val="el" w:eastAsia="el"/>
        </w:rPr>
      </w:pPr>
      <w:r>
        <w:rPr>
          <w:lang w:val="el" w:eastAsia="el"/>
        </w:rPr>
        <w:t>3. Γραφείο Γενικού Δ/ντη Φορολογικής Διοίκησης</w:t>
      </w:r>
    </w:p>
    <w:p>
      <w:pPr>
        <w:spacing w:before="240" w:after="240"/>
        <w:rPr>
          <w:lang w:val="el" w:eastAsia="el"/>
        </w:rPr>
      </w:pPr>
      <w:r>
        <w:rPr>
          <w:lang w:val="el" w:eastAsia="el"/>
        </w:rPr>
        <w:t>4. Όλες τις Φορολογικές Διευθύνσεις.</w:t>
      </w:r>
    </w:p>
    <w:p>
      <w:pPr>
        <w:spacing w:before="240" w:after="240"/>
        <w:rPr>
          <w:lang w:val="el" w:eastAsia="el"/>
        </w:rPr>
      </w:pPr>
      <w:r>
        <w:rPr>
          <w:lang w:val="el" w:eastAsia="el"/>
        </w:rPr>
        <w:t>5. Διεύθυνση Ηλεκτρονικής Διακυβέρνησης</w:t>
      </w:r>
    </w:p>
    <w:p>
      <w:pPr>
        <w:spacing w:before="240" w:after="240"/>
        <w:rPr>
          <w:lang w:val="el" w:eastAsia="el"/>
        </w:rPr>
      </w:pPr>
      <w:r>
        <w:rPr>
          <w:lang w:val="el" w:eastAsia="el"/>
        </w:rPr>
        <w:t>6. Γραφείο Επικοινωνίας και Πληροφόρησης Πολιτών.</w:t>
      </w:r>
    </w:p>
    <w:p>
      <w:pPr>
        <w:spacing w:before="240" w:after="240"/>
        <w:rPr>
          <w:lang w:val="el" w:eastAsia="el"/>
        </w:rPr>
      </w:pPr>
      <w:r>
        <w:rPr>
          <w:lang w:val="el" w:eastAsia="el"/>
        </w:rPr>
        <w:t>7. Δ/νση Εφαρμογής Έμμεσης Φορολογίας, Τμήμα Β΄ Τελών και Ειδικών Φορολογιών(5)</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