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w:t>
      </w:r>
    </w:p>
    <w:p>
      <w:pPr>
        <w:pStyle w:val="Title"/>
        <w:spacing w:before="120" w:after="360"/>
        <w:rPr>
          <w:lang w:val="el" w:eastAsia="el"/>
        </w:rPr>
      </w:pPr>
      <w:r>
        <w:rPr>
          <w:b/>
          <w:bCs/>
          <w:lang w:val="el" w:eastAsia="el"/>
        </w:rPr>
        <w:t>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b/>
          <w:bCs/>
          <w:lang w:val="el" w:eastAsia="el"/>
        </w:rPr>
        <w:t>Δ/ΝΣΗ ΔΑΣΜΟΛΟΓΙΚΩΝ ΘΕΜΑΤΩΝ</w:t>
      </w:r>
    </w:p>
    <w:p>
      <w:pPr>
        <w:pStyle w:val="Title"/>
        <w:spacing w:before="120" w:after="360"/>
        <w:rPr>
          <w:lang w:val="el" w:eastAsia="el"/>
        </w:rPr>
      </w:pPr>
      <w:r>
        <w:rPr>
          <w:b/>
          <w:bCs/>
          <w:lang w:val="el" w:eastAsia="el"/>
        </w:rPr>
        <w:t>ΚΑΙ ΤΕΛΩΝΕΙΑΚΩΝ ΟΙΚΟΝΟΜΙΚΩΝ ΚΑΘΕΣΤΩΤΩΝ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ΕΙΟΥ 301.3</w:t>
      </w:r>
    </w:p>
    <w:p>
      <w:pPr>
        <w:spacing w:before="240" w:after="240"/>
        <w:rPr>
          <w:lang w:val="el" w:eastAsia="el"/>
        </w:rPr>
      </w:pPr>
      <w:r>
        <w:rPr>
          <w:lang w:val="el" w:eastAsia="el"/>
        </w:rPr>
        <w:t>ΕΑ ΣΤΟ ΔΙΑΔΙΚΤΥΟ</w:t>
      </w:r>
    </w:p>
    <w:p>
      <w:pPr>
        <w:spacing w:before="240" w:after="240"/>
        <w:rPr>
          <w:lang w:val="el" w:eastAsia="el"/>
        </w:rPr>
      </w:pPr>
      <w:r>
        <w:rPr>
          <w:lang w:val="el" w:eastAsia="el"/>
        </w:rPr>
        <w:t>ΑΔΑ:</w:t>
      </w:r>
    </w:p>
    <w:p>
      <w:pPr>
        <w:spacing w:before="240" w:after="240"/>
        <w:rPr>
          <w:lang w:val="el" w:eastAsia="el"/>
        </w:rPr>
      </w:pPr>
      <w:r>
        <w:rPr>
          <w:lang w:val="el" w:eastAsia="el"/>
        </w:rPr>
        <w:t>Αθήνα, 18 Ιουνίου 2015</w:t>
      </w:r>
    </w:p>
    <w:p>
      <w:pPr>
        <w:spacing w:before="240" w:after="240"/>
        <w:rPr>
          <w:lang w:val="el" w:eastAsia="el"/>
        </w:rPr>
      </w:pPr>
      <w:r>
        <w:rPr>
          <w:lang w:val="el" w:eastAsia="el"/>
        </w:rPr>
        <w:t>Αρ. Πρωτ.: ΔΔΘΤΟΚ Β 5013153 ΕΞ2015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38"/>
        <w:gridCol w:w="59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Καρ. Σερβίας 10 </w:t>
            </w:r>
            <w:r>
              <w:rPr>
                <w:b/>
                <w:bCs/>
                <w:i w:val="0"/>
                <w:iCs w:val="0"/>
                <w:smallCaps w:val="0"/>
                <w:color w:val="000000"/>
                <w:lang w:val="el" w:eastAsia="el"/>
              </w:rPr>
              <w:t xml:space="preserve">ΠΡΟΣ: </w:t>
            </w:r>
            <w:r>
              <w:rPr>
                <w:b w:val="0"/>
                <w:bCs w:val="0"/>
                <w:i w:val="0"/>
                <w:iCs w:val="0"/>
                <w:smallCaps w:val="0"/>
                <w:color w:val="000000"/>
                <w:lang w:val="el" w:eastAsia="el"/>
              </w:rPr>
              <w:t>Όπως Πίνακας Διανομής</w:t>
            </w:r>
          </w:p>
          <w:p>
            <w:pPr>
              <w:spacing w:before="240"/>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Πληροφορίες Τηλέφωνο 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Αγγελική Καρανικόλα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69 87 513</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69 87 489</w:t>
            </w:r>
          </w:p>
          <w:p>
            <w:pPr>
              <w:spacing w:before="240"/>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d17-c@2001.syzefxis.gov.gr</w:t>
              </w:r>
            </w:hyperlink>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8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Κοινοποίηση </w:t>
            </w:r>
            <w:r>
              <w:rPr>
                <w:b/>
                <w:bCs/>
                <w:i w:val="0"/>
                <w:iCs w:val="0"/>
                <w:smallCaps w:val="0"/>
                <w:color w:val="000000"/>
                <w:lang w:val="el" w:eastAsia="el"/>
              </w:rPr>
              <w:t xml:space="preserve">Εκτελεστικού Κανονισμού (ΕΕ) 2015/483 </w:t>
            </w:r>
            <w:r>
              <w:rPr>
                <w:b w:val="0"/>
                <w:bCs w:val="0"/>
                <w:i w:val="0"/>
                <w:iCs w:val="0"/>
                <w:smallCaps w:val="0"/>
                <w:color w:val="000000"/>
                <w:lang w:val="el" w:eastAsia="el"/>
              </w:rPr>
              <w:t>της Επιτροπής της 20</w:t>
            </w:r>
            <w:r>
              <w:rPr>
                <w:b w:val="0"/>
                <w:bCs w:val="0"/>
                <w:i w:val="0"/>
                <w:iCs w:val="0"/>
                <w:smallCaps w:val="0"/>
                <w:color w:val="000000"/>
                <w:sz w:val="30"/>
                <w:szCs w:val="30"/>
                <w:vertAlign w:val="superscript"/>
                <w:lang w:val="el" w:eastAsia="el"/>
              </w:rPr>
              <w:t xml:space="preserve">ης </w:t>
            </w:r>
            <w:r>
              <w:rPr>
                <w:b w:val="0"/>
                <w:bCs w:val="0"/>
                <w:i w:val="0"/>
                <w:iCs w:val="0"/>
                <w:smallCaps w:val="0"/>
                <w:color w:val="000000"/>
                <w:lang w:val="el" w:eastAsia="el"/>
              </w:rPr>
              <w:t>Μαρτίου 2015, σχετικά με τον προσδιορισμό των ποσοτήτων που πρέπει να προστεθούν στην ποσότητα που καθορίστηκε για την υποπερίοδο από 1</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Ιουλίου έως 30 Σεπτεμβρίου 2015 στο πλαίσιο των δασμολογικών ποσοστώσεων που ανοίχθηκαν με τον Κανονισμό (ΕΚ) αριθ. 1384/2007 για το κρέας πουλερικών καταγωγής Ισραήλ.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Η αριθ. πρωτ. </w:t>
            </w:r>
            <w:r>
              <w:rPr>
                <w:b/>
                <w:bCs/>
                <w:i w:val="0"/>
                <w:iCs w:val="0"/>
                <w:smallCaps w:val="0"/>
                <w:color w:val="000000"/>
                <w:lang w:val="el" w:eastAsia="el"/>
              </w:rPr>
              <w:t xml:space="preserve">Δ.2301/1352/20.11.2008 </w:t>
            </w:r>
            <w:r>
              <w:rPr>
                <w:b w:val="0"/>
                <w:bCs w:val="0"/>
                <w:i w:val="0"/>
                <w:iCs w:val="0"/>
                <w:smallCaps w:val="0"/>
                <w:color w:val="000000"/>
                <w:lang w:val="el" w:eastAsia="el"/>
              </w:rPr>
              <w:t>ΔΥΟΟ (Κοινοποίηση Καν. 1384/2007 της Επιτροπής της 26.11.2007 για τις λεπτομέρειες εφαρμογής του Κανονισμού (ΕΚ) αριθ. 2398/96 του Συμβουλίου όσον αφορά το άνοιγμα και τον τρόπο διαχείρισης ορισμένων ποσοστώσεων για την εισαγωγή στην Κοινότητα προϊόντων του τομέα του κρέατος πουλερικών καταγωγής Ισραήλ).</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Η αριθ. πρωτ. </w:t>
            </w:r>
            <w:r>
              <w:rPr>
                <w:b/>
                <w:bCs/>
                <w:i w:val="0"/>
                <w:iCs w:val="0"/>
                <w:smallCaps w:val="0"/>
                <w:color w:val="000000"/>
                <w:lang w:val="el" w:eastAsia="el"/>
              </w:rPr>
              <w:t xml:space="preserve">Δ17Γ 5005216 ΕΞ2010/02.02.2010 </w:t>
            </w:r>
            <w:r>
              <w:rPr>
                <w:b w:val="0"/>
                <w:bCs w:val="0"/>
                <w:i w:val="0"/>
                <w:iCs w:val="0"/>
                <w:smallCaps w:val="0"/>
                <w:color w:val="000000"/>
                <w:lang w:val="el" w:eastAsia="el"/>
              </w:rPr>
              <w:t>ΔΥΟ (Κοινοποίηση του Καν (ΕΚ) αριθ. 1153/2009 της Επιτροπής της 24.11.2009 για την τροποποίηση του Καν (ΕΚ) αριθ. 1384/2007 για τις λεπτομέρειες εφαρμογής του Καν (ΕΚ) αριθ. 2398/96 του Συμβουλίου, σχετικά με το άνοιγμα και τον τρόπο διαχείρισης ορισμένων ποσοστώσεων για την εισαγωγή στην Κοινότητα προϊόντων του τομέα του κρέατος πουλερικών καταγωγής Ισραήλ και για παρέκκλιση από τον εν λόγω Κανονισμό).</w:t>
            </w:r>
          </w:p>
        </w:tc>
      </w:tr>
    </w:tbl>
    <w:p>
      <w:pPr>
        <w:spacing w:before="240" w:after="240"/>
        <w:rPr>
          <w:lang w:val="el" w:eastAsia="el"/>
        </w:rPr>
      </w:pPr>
      <w:r>
        <w:rPr>
          <w:lang w:val="el" w:eastAsia="el"/>
        </w:rPr>
        <w:t>Με τις ανωτέρω σχετικές σας κοινοποιήσαμε τον Καν (ΕΚ) αριθ. 1384/2007 που αφορά στο άνοιγμα και στον τρόπο διαχείρισης ορισμένων ποσοστώσεων για την εισαγωγή στην ΕΕ προϊόντων του τομέα του κρέατος πουλερικών καταγωγής Ισραήλ, καθώς και τις τροποποιήσεις αυτού.</w:t>
      </w:r>
    </w:p>
    <w:p>
      <w:pPr>
        <w:spacing w:before="240" w:after="240"/>
        <w:rPr>
          <w:lang w:val="el" w:eastAsia="el"/>
        </w:rPr>
      </w:pPr>
      <w:r>
        <w:rPr>
          <w:lang w:val="el" w:eastAsia="el"/>
        </w:rPr>
        <w:t xml:space="preserve">Σε συνέχεια αυτών σας κοινοποιούμε με την παρούσα, για </w:t>
      </w:r>
      <w:r>
        <w:rPr>
          <w:b/>
          <w:bCs/>
          <w:lang w:val="el" w:eastAsia="el"/>
        </w:rPr>
        <w:t xml:space="preserve">ενημέρωση και εφαρμογή </w:t>
      </w:r>
      <w:r>
        <w:rPr>
          <w:lang w:val="el" w:eastAsia="el"/>
        </w:rPr>
        <w:t xml:space="preserve">τον αναφερόμενο στο θέμα </w:t>
      </w:r>
      <w:r>
        <w:rPr>
          <w:b/>
          <w:bCs/>
          <w:lang w:val="el" w:eastAsia="el"/>
        </w:rPr>
        <w:t xml:space="preserve">Εκτελεστικό Κανονισμό (ΕΕ) 2015/483 </w:t>
      </w:r>
      <w:r>
        <w:rPr>
          <w:lang w:val="el" w:eastAsia="el"/>
        </w:rPr>
        <w:t xml:space="preserve">της Επιτροπής, που δημοσιεύθηκε στην Επίσημη Εφημερίδα της Ευρωπαϊκής Ένωσης (L77/ 21.03.2015) σχετικά με τον </w:t>
      </w:r>
      <w:r>
        <w:rPr>
          <w:b/>
          <w:bCs/>
          <w:lang w:val="el" w:eastAsia="el"/>
        </w:rPr>
        <w:t>προσδιορισμό των ποσοτήτων που πρέπει να προστεθούν στην ποσότητα που καθορίστηκε για την υποπερίοδο από 1</w:t>
      </w:r>
      <w:r>
        <w:rPr>
          <w:b/>
          <w:bCs/>
          <w:sz w:val="30"/>
          <w:szCs w:val="30"/>
          <w:vertAlign w:val="superscript"/>
          <w:lang w:val="el" w:eastAsia="el"/>
        </w:rPr>
        <w:t>ης</w:t>
      </w:r>
      <w:r>
        <w:rPr>
          <w:b/>
          <w:bCs/>
          <w:lang w:val="el" w:eastAsia="el"/>
        </w:rPr>
        <w:t xml:space="preserve"> Ιουλίου 2015 έως 30 Σεπτεμβρίου 2015 στο πλαίσιο των δασμολογικών που ανοίχθηκαν με τον Κανονισμό (ΕΚ) αριθ. 1384/2007 για το κρέας πουλερικών καταγωγής Ισραήλ</w:t>
      </w:r>
      <w:r>
        <w:rPr>
          <w:lang w:val="el" w:eastAsia="el"/>
        </w:rPr>
        <w:t>.</w:t>
      </w:r>
    </w:p>
    <w:p>
      <w:pPr>
        <w:spacing w:before="240" w:after="240"/>
        <w:rPr>
          <w:lang w:val="el" w:eastAsia="el"/>
        </w:rPr>
      </w:pPr>
      <w:r>
        <w:rPr>
          <w:lang w:val="el" w:eastAsia="el"/>
        </w:rPr>
        <w:t>Ειδικότερα, στα πλαίσια εφαρμογής του Καν (ΕΚ) αριθ. 1384/2007, οι αιτήσεις πιστοποιητικών εισαγωγής που υποβλήθηκαν για την υποπερίοδο από την 1</w:t>
      </w:r>
      <w:r>
        <w:rPr>
          <w:sz w:val="30"/>
          <w:szCs w:val="30"/>
          <w:vertAlign w:val="superscript"/>
          <w:lang w:val="el" w:eastAsia="el"/>
        </w:rPr>
        <w:t>η</w:t>
      </w:r>
      <w:r>
        <w:rPr>
          <w:lang w:val="el" w:eastAsia="el"/>
        </w:rPr>
        <w:t xml:space="preserve"> Απριλίου 2015 έως τις 30 Ιουνίου 2015 αφορούσαν ποσότητες μικρότερες από τις διαθέσιμες. Ως εκ τούτου κρίνεται σκόπιμο να προσδιοριστούν οι ποσότητες για τις οποίες δεν υποβλήθηκαν αιτήσεις και οι οποίες στη συνέχεια θα πρέπει να προστεθούν στην ποσότητα που καθορίζεται για την επόμενη υποπερίοδο της ποσόστωσης.</w:t>
      </w:r>
    </w:p>
    <w:p>
      <w:pPr>
        <w:spacing w:before="240" w:after="240"/>
        <w:rPr>
          <w:lang w:val="el" w:eastAsia="el"/>
        </w:rPr>
      </w:pPr>
      <w:r>
        <w:rPr>
          <w:lang w:val="el" w:eastAsia="el"/>
        </w:rPr>
        <w:t>Με το άρθρο 1 του κοινοποιούμενου κανονισμού ορίζεται ότι οι ποσότητες για τις οποίες δεν έχουν υποβληθεί αιτήσεις πιστοποιητικών εισαγωγής δυνάμει του Καν (ΕΚ) αριθ. 1384/2007 και οι οποίες πρέπει να προστεθούν στην υποπερίοδο από 1</w:t>
      </w:r>
      <w:r>
        <w:rPr>
          <w:sz w:val="30"/>
          <w:szCs w:val="30"/>
          <w:vertAlign w:val="superscript"/>
          <w:lang w:val="el" w:eastAsia="el"/>
        </w:rPr>
        <w:t>η</w:t>
      </w:r>
      <w:r>
        <w:rPr>
          <w:lang w:val="el" w:eastAsia="el"/>
        </w:rPr>
        <w:t xml:space="preserve"> Ιουλίου 2015 έως 30 Σεπτεμβρίου 2015, προβλέπονται στο Παράρτημα του κοινοποιούμενου κανονισμού.</w:t>
      </w:r>
    </w:p>
    <w:p>
      <w:pPr>
        <w:spacing w:before="240" w:after="240"/>
        <w:rPr>
          <w:lang w:val="el" w:eastAsia="el"/>
        </w:rPr>
      </w:pPr>
      <w:r>
        <w:rPr>
          <w:lang w:val="el" w:eastAsia="el"/>
        </w:rPr>
        <w:t>Ο κοινοποιούμενος κανονισμός αρχίζει να ισχύει την ημέρα της δημοσίευσής του στην Επίσημη Εφημερίδα της Ευρωπαϊκής Ένωσης (ημερομηνία δημοσίευσης: 21.03.2015).</w:t>
      </w:r>
    </w:p>
    <w:p>
      <w:pPr>
        <w:spacing w:before="240" w:after="240"/>
        <w:rPr>
          <w:lang w:val="el" w:eastAsia="el"/>
        </w:rPr>
      </w:pPr>
      <w:r>
        <w:rPr>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Τελωνεία Α΄ και Β΄ Τάξης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ΕΛ.Υ.Τ Αττικής και Θεσσαλονίκης</w:t>
      </w:r>
    </w:p>
    <w:p>
      <w:pPr>
        <w:spacing w:before="240" w:after="240"/>
        <w:rPr>
          <w:lang w:val="el" w:eastAsia="el"/>
        </w:rPr>
      </w:pPr>
      <w:r>
        <w:rPr>
          <w:lang w:val="el" w:eastAsia="el"/>
        </w:rPr>
        <w:t>3) Δ/νση Εσωτερικών Υποθέσεων</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Υπουργείο Αγροτικής Ανάπτυξης και Τροφίμων</w:t>
      </w:r>
    </w:p>
    <w:p>
      <w:pPr>
        <w:spacing w:before="240" w:after="240"/>
        <w:rPr>
          <w:lang w:val="el" w:eastAsia="el"/>
        </w:rPr>
      </w:pPr>
      <w:r>
        <w:rPr>
          <w:lang w:val="el" w:eastAsia="el"/>
        </w:rPr>
        <w:t>Δ/νση Αγροτικής Πολιτικής και Τεκμηρίωσης</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6)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7)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8)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9) Εμπορικά και Βιομηχανικά Επιμελητήρια</w:t>
      </w:r>
    </w:p>
    <w:p>
      <w:pPr>
        <w:spacing w:before="240" w:after="240"/>
        <w:rPr>
          <w:lang w:val="el" w:eastAsia="el"/>
        </w:rPr>
      </w:pPr>
      <w:r>
        <w:rPr>
          <w:lang w:val="el" w:eastAsia="el"/>
        </w:rPr>
        <w:t>10) Επαγγελματικά και Βιοτεχνικά Επιμελητήρια</w:t>
      </w:r>
    </w:p>
    <w:p>
      <w:pPr>
        <w:spacing w:before="240" w:after="240"/>
        <w:rPr>
          <w:lang w:val="el" w:eastAsia="el"/>
        </w:rPr>
      </w:pPr>
      <w:r>
        <w:rPr>
          <w:lang w:val="el" w:eastAsia="el"/>
        </w:rPr>
        <w:t>11)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12)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13)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14)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15)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16)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17)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18)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lang w:val="el" w:eastAsia="el"/>
        </w:rPr>
        <w:t>19)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20)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21)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22)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23)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24)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25) Σύλλογος Εκτελωνιστών Αθήνας – Πειραιά</w:t>
      </w:r>
    </w:p>
    <w:p>
      <w:pPr>
        <w:spacing w:before="240" w:after="240"/>
        <w:rPr>
          <w:lang w:val="el" w:eastAsia="el"/>
        </w:rPr>
      </w:pPr>
      <w:r>
        <w:rPr>
          <w:lang w:val="el" w:eastAsia="el"/>
        </w:rPr>
        <w:t>26)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2) Δ/νση Δασμ. Θεμάτων και Τελων. Οικονομικών Καθεστώτων, Τμήματα Α΄και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