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</w:t>
      </w:r>
      <w:r>
        <w:rPr>
          <w:sz w:val="30"/>
          <w:szCs w:val="30"/>
          <w:vertAlign w:val="subscript"/>
          <w:lang w:val="el" w:eastAsia="el"/>
        </w:rPr>
        <w:t>Α</w:t>
      </w:r>
      <w:r>
        <w:rPr>
          <w:lang w:val="el" w:eastAsia="el"/>
        </w:rPr>
        <w:t>:</w:t>
      </w:r>
      <w:r>
        <w:rPr>
          <w:sz w:val="30"/>
          <w:szCs w:val="30"/>
          <w:vertAlign w:val="subscript"/>
          <w:lang w:val="el" w:eastAsia="el"/>
        </w:rPr>
        <w:t>Δ</w:t>
      </w:r>
      <w:r>
        <w:rPr>
          <w:lang w:val="el" w:eastAsia="el"/>
        </w:rPr>
        <w:t>6</w:t>
      </w:r>
      <w:r>
        <w:rPr>
          <w:sz w:val="30"/>
          <w:szCs w:val="30"/>
          <w:vertAlign w:val="subscript"/>
          <w:lang w:val="el" w:eastAsia="el"/>
        </w:rPr>
        <w:t>Α</w:t>
      </w:r>
      <w:r>
        <w:rPr>
          <w:lang w:val="el" w:eastAsia="el"/>
        </w:rPr>
        <w:t>Μ</w:t>
      </w:r>
      <w:r>
        <w:rPr>
          <w:sz w:val="30"/>
          <w:szCs w:val="30"/>
          <w:vertAlign w:val="subscript"/>
          <w:lang w:val="el" w:eastAsia="el"/>
        </w:rPr>
        <w:t>:</w:t>
      </w:r>
      <w:r>
        <w:rPr>
          <w:lang w:val="el" w:eastAsia="el"/>
        </w:rPr>
        <w:t xml:space="preserve"> ΩΧΗ-ΛΛΠ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ΕΠΕΙΓΟΥΣΑ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Β’ –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Κώδικας: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Πληροφορίες: </w:t>
      </w:r>
      <w:r>
        <w:rPr>
          <w:lang w:val="el" w:eastAsia="el"/>
        </w:rPr>
        <w:t>Κ. Καρακικέ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: </w:t>
      </w:r>
      <w:r>
        <w:rPr>
          <w:lang w:val="el" w:eastAsia="el"/>
        </w:rPr>
        <w:t>210 - 3375311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 : </w:t>
      </w:r>
      <w:r>
        <w:rPr>
          <w:lang w:val="el" w:eastAsia="el"/>
        </w:rPr>
        <w:t>210 - 3375001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Εξόφληση δαπανών κατά την παράταση της διάρκειας της τραπεζικής αργίας που ορίζεται από την Π.Ν.Π. «Τραπεζική αργία βραχείας διάρκειας» (ΦΕΚ 65Α'/28.06.2015).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ερωτήματα που έχουν υποβληθεί στην υπηρεσία μας, αναφορικά με το πιο πάνω θέμα, σας γνωρίζουμε ότι τα αναφερόμενα στην ΠΟΛ. 1143/3.7.2015 εγκύκλιό μας σχετικά με την έκπτωση των δαπανών που αφορούν σε αγορά αγαθών ή λήψη υπηρεσιών και εξοφλούνται στη διάρκεια της προβλεπόμενης από την Π.Ν.Π. (ΦΕΚ 65Α’/28.06.2015) τραπεζικής αργίας χωρίς τη χρήση τραπεζικού μέσου πληρωμής, κατά παρέκκλιση των διατάξεων της περ. β’ του άρθρου 23 του ν. 4172/2013, ισχύουν και κατά το χρονικό διάστημα ισχύος κάθε μεταγενέστερης παράτασης της διάρκειας της αργίας αυτής.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ΠΡΟΙΣΤΑΜΕΝΗ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6ΜΩΧΗ-ΛΛΠ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αριθ.1 και 2 αυτού), Ζ’ (εκτός των αριθμών 3,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και 7), Η’, Θ’, Ι’, ΙΑ’,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Ανάπτυξης και Ανταγωνιστικότητας, Διεύθυνση Ανωνύμων Εταιριών και Πίστεως, Πλ. Κάνιγγος - 101 81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7 - 105 62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κας Αναπληρώτριας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Εφαρμογής Άμεσης Φορολογίας - Τμήματα Α΄ (3) - Β΄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