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ΑΔΑ:</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 Β’</w:t>
      </w:r>
    </w:p>
    <w:p>
      <w:pPr>
        <w:spacing w:before="240" w:after="240"/>
        <w:rPr>
          <w:lang w:val="el" w:eastAsia="el"/>
        </w:rPr>
      </w:pPr>
      <w:r>
        <w:rPr>
          <w:b/>
          <w:bCs/>
          <w:lang w:val="el" w:eastAsia="el"/>
        </w:rPr>
        <w:t>ΠΟΛ:1159</w:t>
      </w:r>
    </w:p>
    <w:p>
      <w:pPr>
        <w:spacing w:before="240" w:after="240"/>
        <w:rPr>
          <w:lang w:val="el" w:eastAsia="el"/>
        </w:rPr>
      </w:pPr>
      <w:r>
        <w:rPr>
          <w:b/>
          <w:bCs/>
          <w:lang w:val="el" w:eastAsia="el"/>
        </w:rPr>
        <w:t xml:space="preserve">Ταχ. Δ/νση: </w:t>
      </w:r>
      <w:r>
        <w:rPr>
          <w:lang w:val="el" w:eastAsia="el"/>
        </w:rPr>
        <w:t>Καρ. Σερβίας 10</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Τηλέφωνο: </w:t>
      </w:r>
      <w:r>
        <w:rPr>
          <w:lang w:val="el" w:eastAsia="el"/>
        </w:rPr>
        <w:t>210 – 3375312</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«Κοινοποίηση των διατάξεων των παραγράφων 4, 5, 6 και 7 του άρθρου 1 του ν.4334/2015 (ΦΕΚ Α’ 80/16-07-2015)».</w:t>
      </w:r>
    </w:p>
    <w:p>
      <w:pPr>
        <w:spacing w:before="240" w:after="240"/>
        <w:rPr>
          <w:lang w:val="el" w:eastAsia="el"/>
        </w:rPr>
      </w:pPr>
      <w:r>
        <w:rPr>
          <w:lang w:val="el" w:eastAsia="el"/>
        </w:rPr>
        <w:t>Σας κοινοποιούμε τις διατάξεις των παραγράφων 4, 5, 6 και 7 του άρθρου 1 του ν.4334/2015, με τις οποίες τροποποιούνται οι διατάξεις του ν.4172/2013, του ν.3986/2011 και του ν.4111/2013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διατάξεις της παραγράφου 4 του άρθρου αυτού αυξάνεται από 26% σε 29% ο συντελεστής φορολογίας εισοδήματος των κερδών από επιχειρηματική δραστηριότητα της παραγράφου 1 του άρθρου 58 του ν.4172/2013 που αποκτούν τα νομικά πρόσωπα και οι νομικές οντότητες που τηρούν διπλογραφικά βιβλία, καθώς και τα νομικά πρόσωπα μη κερδοσκοπικού χαρακτήρα της περίπτωσης γ’ του άρθρου 45 του ν.4172/2013 που τηρούν απλογραφικά βιβλία.</w:t>
      </w:r>
    </w:p>
    <w:p>
      <w:pPr>
        <w:spacing w:before="240" w:after="240"/>
        <w:rPr>
          <w:lang w:val="el" w:eastAsia="el"/>
        </w:rPr>
      </w:pPr>
      <w:r>
        <w:rPr>
          <w:lang w:val="el" w:eastAsia="el"/>
        </w:rPr>
        <w:t>Οι διατάξεις αυτές ισχύουν για τα κέρδη που προκύπτουν στα φορολογικά έτη που αρχίζουν από την 1η Ιανουαρίου 2015 και μετά, ελλείψει ρητής πρόβλεψης στο νόμο περί αναδρομικής εφαρμογής τους για εισοδήματα φορολογικού έτους 2014.</w:t>
      </w:r>
    </w:p>
    <w:p>
      <w:pPr>
        <w:spacing w:before="240" w:after="240"/>
        <w:rPr>
          <w:lang w:val="el" w:eastAsia="el"/>
        </w:rPr>
      </w:pPr>
      <w:r>
        <w:rPr>
          <w:lang w:val="el" w:eastAsia="el"/>
        </w:rPr>
        <w:t>2. Με τις διατάξεις της περίπτωσης α’ της παραγράφου 5 του άρθρου αυτού τροποποιείται η παράγραφος 1 του άρθρου 71 του ν.4172/2013. Ειδικότερα, αυξάνεται από 80% σε 100% το ποσοστό της προκαταβολής φόρου εισοδήματος των νομικών προσώπων και νομικών οντοτήτων, ενώ το ίδιο ως άνω ποσοστό (100%) εξακολουθεί να ισχύει για τις</w:t>
      </w:r>
    </w:p>
    <w:p>
      <w:pPr>
        <w:spacing w:before="240" w:after="240"/>
        <w:rPr>
          <w:lang w:val="el" w:eastAsia="el"/>
        </w:rPr>
      </w:pPr>
      <w:r>
        <w:rPr>
          <w:lang w:val="el" w:eastAsia="el"/>
        </w:rPr>
        <w:t>τραπεζικές ημεδαπές ανώνυμες εταιρείες και τα υποκαταστήματα αλλοδαπών τραπεζών που λειτουργούν νόμιμα στην Ελλάδα.</w:t>
      </w:r>
    </w:p>
    <w:p>
      <w:pPr>
        <w:spacing w:before="240" w:after="240"/>
        <w:rPr>
          <w:lang w:val="el" w:eastAsia="el"/>
        </w:rPr>
      </w:pPr>
      <w:r>
        <w:rPr>
          <w:lang w:val="el" w:eastAsia="el"/>
        </w:rPr>
        <w:t>Οι διατάξεις αυτές ισχύουν για τα κέρδη που προκύπτουν στα φορολογικά έτη που αρχίζουν από την 1η Ιανουαρίου 2015 και μετά.</w:t>
      </w:r>
    </w:p>
    <w:p>
      <w:pPr>
        <w:spacing w:before="240" w:after="240"/>
        <w:rPr>
          <w:lang w:val="el" w:eastAsia="el"/>
        </w:rPr>
      </w:pPr>
      <w:r>
        <w:rPr>
          <w:lang w:val="el" w:eastAsia="el"/>
        </w:rPr>
        <w:t>3. Με τις διατάξεις της περίπτωσης β’ της παραγράφου 5 του άρθρου αυτού προστίθεται νέα παράγραφος 36 στο άρθρο 72 του ν.4172/2013, με την οποία αυξάνεται από 55% σε 75% το ποσοστό της προκαταβολής φόρου εισοδήματος των νομικών προσώπων και νομικών οντοτήτων των περιπτώσεων β’, γ’, ε’ και στ’ μόνο για τις κοινοπραξίες των προσωπικών εταιρειών του άρθρου 45, για τα κέρδη που προκύπτουν στο φορολογικό έτος που αρχίζει από την 1η Ιανουαρίου 2015 έως και την 31η Δεκεμβρίου του ίδιου έτους.</w:t>
      </w:r>
    </w:p>
    <w:p>
      <w:pPr>
        <w:spacing w:before="240" w:after="240"/>
        <w:rPr>
          <w:lang w:val="el" w:eastAsia="el"/>
        </w:rPr>
      </w:pPr>
      <w:r>
        <w:rPr>
          <w:lang w:val="el" w:eastAsia="el"/>
        </w:rPr>
        <w:t>Δεδομένου, ότι στις ως άνω διατάξεις υπάρχει ρητή αναφορά ως προς την εφαρμογή τους μόνο για τα κέρδη φορολογικού έτους 2015, καθώς και του γεγονότος ότι αυτές προστέθηκαν ως μεταβατικές διατάξεις και όχι ως τροποποίηση των διατάξεων της παραγράφου 2 του άρθρου 71 του ν.4172/2013, συνάγεται, ότι ο αυξημένος συντελεστής (75%) εφαρμόζεται μόνο για την προκαταβολή φόρου εισοδήματος που βεβαιώνεται με βάση τα κέρδη του φορολογικού έτους 2015.</w:t>
      </w:r>
    </w:p>
    <w:p>
      <w:pPr>
        <w:spacing w:before="240" w:after="240"/>
        <w:rPr>
          <w:lang w:val="el" w:eastAsia="el"/>
        </w:rPr>
      </w:pPr>
      <w:r>
        <w:rPr>
          <w:lang w:val="el" w:eastAsia="el"/>
        </w:rPr>
        <w:t>4. Με τις διατάξεις της περ. α’ της παρ. 6 του άρθρου αυτού τροποποιήθηκε η περ. α’ της παρ. 1 του άρθρου 44 του ν. 4111/2013. Ειδικότερα, με τις νέες πλέον διατάξεις επιβάλλεται φόρος πολυτελούς διαβίωσης και στο ποσό της ετήσιας αντικειμενικής δαπάνης που προκύπτει από την κυριότητα ή κατοχή σκαφών αναψυχής ιδιωτικής χρήσης άνω των πέντε (5) μέτρων.</w:t>
      </w:r>
    </w:p>
    <w:p>
      <w:pPr>
        <w:spacing w:before="240" w:after="240"/>
        <w:rPr>
          <w:lang w:val="el" w:eastAsia="el"/>
        </w:rPr>
      </w:pPr>
      <w:r>
        <w:rPr>
          <w:lang w:val="el" w:eastAsia="el"/>
        </w:rPr>
        <w:t>Περαιτέρω, με τις διατάξεις της περ. β’ της παρ. 6 του άρθρου αυτού αυξάνεται από δέκα (10%) σε δεκατρία τοις εκατό (13%) ο εφαρμοζόμενος συντελεστής για τον υπολογισμό του φόρου πολυτελούς διαβίωσης για τις υποπεριπτώσεις ii, iii και iv της περ. β’ της παρ. 1 του άρθρου 44 του ν. 4111/13. Κατά συνέπεια, για επιβατικά αυτοκίνητα ιδιωτικής χρήσης μεγάλου κυβισμού (άνω των 2.500 κυβικών εκατοστών), για αεροσκάφη, ελικόπτερα και ανεμόπτερα, καθώς και για δεξαμενές κολύμβησης (εσωτερικές και εξωτερικές), ο φόρος πολυτελούς διαβίωσης θα υπολογίζεται πλέον ως το γινόμενο της ετήσιας αντικειμενικής δαπάνης που προκύπτει από την κατοχή ή κυριότητα των ανωτέρω ειδών επί συντελεστή δεκατρία τοις εκατό (13%).</w:t>
      </w:r>
    </w:p>
    <w:p>
      <w:pPr>
        <w:spacing w:before="240" w:after="240"/>
        <w:rPr>
          <w:lang w:val="el" w:eastAsia="el"/>
        </w:rPr>
      </w:pPr>
      <w:r>
        <w:rPr>
          <w:lang w:val="el" w:eastAsia="el"/>
        </w:rPr>
        <w:t>Επιπλέον, με τις διατάξεις της περ. γ’ της παρ. 6 του άρθρου αυτού προστίθεται νέα υποπερίπτωση v στην περ. β’ της παρ. 1 του άρθρου 44 του ν. 4111/2013, σύμφωνα με την οποία, για τα σκάφη αναψυχής ιδιωτικής χρήσης άνω των πέντε μέτρων ο φόρος πολυτελούς διαβίωσης ισούται με το γινόμενο του ποσού της ετήσιας αντικειμενικής δαπάνης του σκάφους επί συντελεστή δεκατρία τοις εκατό (13%). Σημειώνεται ότι στην εν 2 λόγω αντικειμενική δαπάνη δε λαμβάνεται υπόψη η δαπάνη για την αμοιβή του πληρώματος. Επίσης, κατά ρητή νομοθετική πρόβλεψη, από την επιβολή του φόρου πολυτελούς διαβίωσης εξαιρούνται τα ιστιοφόρα σκάφη και πλοία αναψυχής που έχουν κατασκευαστεί ή κατασκευάζονται στην Ελλάδα εξ’ ολοκλήρου από ξύλο, τύπων τρεχαντήρι, βαρκαλάς, πέραμα, τσερνίκι, λίμπερτυ, τα οποία προέρχονται από ελληνική ναυτική παράδοση.</w:t>
      </w:r>
    </w:p>
    <w:p>
      <w:pPr>
        <w:spacing w:before="240" w:after="240"/>
        <w:rPr>
          <w:lang w:val="el" w:eastAsia="el"/>
        </w:rPr>
      </w:pPr>
      <w:r>
        <w:rPr>
          <w:lang w:val="el" w:eastAsia="el"/>
        </w:rPr>
        <w:t>Οι ανωτέρω διατάξεις εφαρμόζονται για τα εισοδήματα που αποκτώνται στα φορολογικά έτη 2014 και εφεξής, τα οποία δηλώνονται με τις φορολογικές δηλώσεις που υποβάλλονται τα φορολογικά έτη 2015 και μετά.</w:t>
      </w:r>
    </w:p>
    <w:p>
      <w:pPr>
        <w:spacing w:before="240" w:after="240"/>
        <w:rPr>
          <w:lang w:val="el" w:eastAsia="el"/>
        </w:rPr>
      </w:pPr>
      <w:r>
        <w:rPr>
          <w:lang w:val="el" w:eastAsia="el"/>
        </w:rPr>
        <w:t>5. Για τις ήδη υποβληθείσες δηλώσεις φορολογίας εισοδήματος φυσικών προσώπων φορολογικού έτους 2014, ο φόρος πολυτελούς διαβίωσης θα επαναπροσδιοριστεί με βάση τις διατάξεις της παρ. 6 του άρθρου 2 του ν. 4334/2015 (ΦΕΚ 80</w:t>
      </w:r>
      <w:r>
        <w:rPr>
          <w:sz w:val="30"/>
          <w:szCs w:val="30"/>
          <w:vertAlign w:val="superscript"/>
          <w:lang w:val="el" w:eastAsia="el"/>
        </w:rPr>
        <w:t>Α</w:t>
      </w:r>
      <w:r>
        <w:rPr>
          <w:lang w:val="el" w:eastAsia="el"/>
        </w:rPr>
        <w:t>/16.7.2015) και ως εκ τούτου, η Φορολογική Διοίκηση θα εκδώσει εκ νέου πράξη διοικητικού προσδιορισμού του φόρου.</w:t>
      </w:r>
    </w:p>
    <w:p>
      <w:pPr>
        <w:spacing w:before="240" w:after="240"/>
        <w:rPr>
          <w:lang w:val="el" w:eastAsia="el"/>
        </w:rPr>
      </w:pPr>
      <w:r>
        <w:rPr>
          <w:lang w:val="el" w:eastAsia="el"/>
        </w:rPr>
        <w:t>Η προκύψασα διαφορά φόρου δύναται να καταβληθεί μέσα στις προβλεπόμενες προθεσμίες καταβολής των δόσεων του φόρου εισοδήματος, όπως προβλέπεται από το προτελευταίο εδάφιο της περίπτ. γ΄ της παραγρ.1 του άρθρ. 44 του ν. 4111/2013.</w:t>
      </w:r>
    </w:p>
    <w:p>
      <w:pPr>
        <w:spacing w:before="240" w:after="240"/>
        <w:rPr>
          <w:lang w:val="el" w:eastAsia="el"/>
        </w:rPr>
      </w:pPr>
      <w:r>
        <w:rPr>
          <w:lang w:val="el" w:eastAsia="el"/>
        </w:rPr>
        <w:t>6. Τέλος, με τις διατάξεις της παραγράφου 7 του ως άνω άρθρου, η ειδική εισφορά αλληλεγγύης του άρθρου 29 του ν. 3686/2011 , αυξάνεται για τα εισοδήματα άνω των τριάντα χιλιάδων (30.000) ευρώ, που αποκτώνται από 01/01/2015 και μετά.</w:t>
      </w:r>
    </w:p>
    <w:p>
      <w:pPr>
        <w:spacing w:before="240" w:after="240"/>
        <w:rPr>
          <w:lang w:val="el" w:eastAsia="el"/>
        </w:rPr>
      </w:pPr>
      <w:r>
        <w:rPr>
          <w:lang w:val="el" w:eastAsia="el"/>
        </w:rPr>
        <w:t>Διευκρινίζεται ότι, τα κλιμάκια της εισφοράς των εισοδημάτων μέχρι τριάντα χιλιάδες (30.000) ευρώ, παραμένουν όπως αυτά διαμορφώθηκαν με την τροποποίηση που πραγματοποιήθηκε με την παράγραφο 2 του άρθρου 52 του ν. 4305/2014 (ΦΕΚ Α΄ 237/31.10.2014), δηλαδή εισοδήματα από 12.001 έως 20.000 συντελεστής εισφοράς 0,7% και από 20.001 έως 30.000 συντελεστής 1,4% επί ολόκληρου του ποσού.</w:t>
      </w:r>
    </w:p>
    <w:p>
      <w:pPr>
        <w:spacing w:before="240" w:after="240"/>
        <w:rPr>
          <w:lang w:val="el" w:eastAsia="el"/>
        </w:rPr>
      </w:pPr>
      <w:r>
        <w:rPr>
          <w:lang w:val="el" w:eastAsia="el"/>
        </w:rPr>
        <w:t>Υπενθυμίζεται ότι, με τις ίδιες αυτές διατάξεις (παράγραφο 2 του άρθρου 52 του ν. 4305/2014) είχε παραταθεί η επιβολή της εισφοράς κατά δύο (2) έτη, δηλαδή φορολογικά έτη 2015 και 2016.</w:t>
      </w:r>
    </w:p>
    <w:p>
      <w:pPr>
        <w:spacing w:before="240" w:after="240"/>
        <w:rPr>
          <w:lang w:val="el" w:eastAsia="el"/>
        </w:rPr>
      </w:pPr>
      <w:r>
        <w:rPr>
          <w:lang w:val="el" w:eastAsia="el"/>
        </w:rPr>
        <w:t>Τα αυξημένα κλιμάκια της ειδικής εισφοράς αλληλεγγύης, βάσει του συνολικού ατομικού πραγματικού ή τεκμαρτού εισοδήματος, έχουν ως εξής:</w:t>
      </w:r>
    </w:p>
    <w:p>
      <w:pPr>
        <w:spacing w:before="240" w:after="240"/>
        <w:rPr>
          <w:lang w:val="el" w:eastAsia="el"/>
        </w:rPr>
      </w:pPr>
      <w:r>
        <w:rPr>
          <w:lang w:val="el" w:eastAsia="el"/>
        </w:rPr>
        <w:t>Από 30.001,00 έως 50.000,99: συντελεστής 2% επί ολόκληρου του ποσού.</w:t>
      </w:r>
    </w:p>
    <w:p>
      <w:pPr>
        <w:spacing w:before="240" w:after="240"/>
        <w:rPr>
          <w:lang w:val="el" w:eastAsia="el"/>
        </w:rPr>
      </w:pPr>
      <w:r>
        <w:rPr>
          <w:lang w:val="el" w:eastAsia="el"/>
        </w:rPr>
        <w:t>Από 50.001,00 έως 100.000,99: συντελεστής 4% επί ολόκληρου του ποσού.</w:t>
      </w:r>
    </w:p>
    <w:p>
      <w:pPr>
        <w:spacing w:before="240" w:after="240"/>
        <w:rPr>
          <w:lang w:val="el" w:eastAsia="el"/>
        </w:rPr>
      </w:pPr>
      <w:r>
        <w:rPr>
          <w:lang w:val="el" w:eastAsia="el"/>
        </w:rPr>
        <w:t>Από 100.001,00 έως 500.000,99: συντελεστής 6% επί ολόκληρου του ποσού.</w:t>
      </w:r>
    </w:p>
    <w:p>
      <w:pPr>
        <w:spacing w:before="240" w:after="240"/>
        <w:rPr>
          <w:lang w:val="el" w:eastAsia="el"/>
        </w:rPr>
      </w:pPr>
      <w:r>
        <w:rPr>
          <w:lang w:val="el" w:eastAsia="el"/>
        </w:rPr>
        <w:t>Από 500.001,00 και άνω: συντελεστής 8% επί ολόκληρου του ποσού.</w:t>
      </w:r>
    </w:p>
    <w:p>
      <w:pPr>
        <w:spacing w:before="240" w:after="240"/>
        <w:rPr>
          <w:lang w:val="el" w:eastAsia="el"/>
        </w:rPr>
      </w:pPr>
      <w:r>
        <w:rPr>
          <w:lang w:val="el" w:eastAsia="el"/>
        </w:rPr>
        <w:t>Για τα εισοδήματα φορολογούμενων που είχαν την ιδιότητα Βουλευτών, Υπουργών, Αναπληρωτών Υπουργών, Υφυπουργών, Γενικών και Ειδικών Γραμματέων Υπουργείων, 3</w:t>
      </w:r>
    </w:p>
    <w:p>
      <w:pPr>
        <w:spacing w:before="240" w:after="240"/>
        <w:rPr>
          <w:lang w:val="el" w:eastAsia="el"/>
        </w:rPr>
      </w:pPr>
      <w:r>
        <w:rPr>
          <w:lang w:val="el" w:eastAsia="el"/>
        </w:rPr>
        <w:t>Περιφερειαρχών, Δημάρχων, Γενικών Γραμματέων των Αποκεντρωμένων Διοικήσεων, Ευρωβουλευτών κλπ., επιβάλλεται ειδική εισφορά με συντελεστή 8% επί ολόκληρου του ποσού του εισοδήματός τους, εφόσον οι πάσης φύσεως αποδοχές και πρόσθετες αμοιβές ή απολαβές τους είναι τουλάχιστον ίσες με τις αποδοχές Γενικού Γραμματέα Υπουργείου.</w:t>
      </w:r>
    </w:p>
    <w:p>
      <w:pPr>
        <w:spacing w:before="240" w:after="240"/>
        <w:rPr>
          <w:lang w:val="el" w:eastAsia="el"/>
        </w:rPr>
      </w:pPr>
      <w:r>
        <w:rPr>
          <w:lang w:val="el" w:eastAsia="el"/>
        </w:rPr>
        <w:t>Το ποσό της εισφοράς εξακολουθεί να περιορίζεται αναλόγως, σε κάθε περίπτωση ώστε το εναπομένον εισόδημα μετά την αφαίρεση της ειδικής εισφοράς να μην είναι μικρότερο από το ποσό που προκύπτει από την εφαρμογή του αμέσως μικρότερου συντελεστή στο άνω όριο του προηγούμενου κλιμακίου. Πιο συγκεκριμένα, το καθαρό ποσό που απομένει μετά από την αφαίρεση της ειδικής εισφοράς του κλιμακίου με συντελεστή 0,7%, δε μπορεί να είναι μικρότερο από 12.000 ευρώ, το καθαρό ποσό του κλιμακίου με συντελεστή 1,4% δε μπορεί να είναι μικρότερο από 19.860 ευρώ (20.000*0,7%), το καθαρό ποσό του κλιμακίου με συντελεστή 2% δε μπορεί να είναι μικρότερο από 29.580 ευρώ (30.000*1,4%), το καθαρό ποσό του κλιμακίου με συντελεστή 4% δε μπορεί να είναι μικρότερο από 49.000 ευρώ (50.000*2%), το καθαρό ποσό του κλιμακίου με συντελεστή 6% δε μπορεί να είναι μικρότερο από 96.000 ευρώ (100.000*4%) και τέλος τα καθαρό ποσό του κλιμακίου με συντελεστή 8% δε μπορεί να είναι μικρότερο από 470.000 ευρώ (500.000*6%).</w:t>
      </w:r>
    </w:p>
    <w:p>
      <w:pPr>
        <w:spacing w:before="240" w:after="240"/>
        <w:rPr>
          <w:lang w:val="el" w:eastAsia="el"/>
        </w:rPr>
      </w:pPr>
      <w:r>
        <w:rPr>
          <w:lang w:val="el" w:eastAsia="el"/>
        </w:rPr>
        <w:t xml:space="preserve">Ακριβές Αντίγραφο </w:t>
      </w:r>
      <w:r>
        <w:rPr>
          <w:b/>
          <w:bCs/>
          <w:lang w:val="el" w:eastAsia="el"/>
        </w:rPr>
        <w:t>Η ΓΕΝΙΚΗ ΓΡΑΜΜΑΤΕΑΣ ΔΗΜΟΣΙΩΝ ΕΣΟΔΩΝ</w:t>
      </w:r>
    </w:p>
    <w:p>
      <w:pPr>
        <w:spacing w:before="240" w:after="240"/>
        <w:rPr>
          <w:lang w:val="el" w:eastAsia="el"/>
        </w:rPr>
      </w:pPr>
      <w:r>
        <w:rPr>
          <w:lang w:val="el" w:eastAsia="el"/>
        </w:rPr>
        <w:t xml:space="preserve">Η Προϊσταμένη του Αυτοτελούς </w:t>
      </w:r>
      <w:r>
        <w:rPr>
          <w:b/>
          <w:bCs/>
          <w:lang w:val="el" w:eastAsia="el"/>
        </w:rPr>
        <w:t xml:space="preserve">ΑΙΚΑΤΕΡΙΝΗ ΣΑΒΒΑΪΔΟΥ </w:t>
      </w:r>
      <w:r>
        <w:rPr>
          <w:lang w:val="el" w:eastAsia="el"/>
        </w:rPr>
        <w:t>Τμήματος Διοίκησης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Β΄(εκτός του αριθμού 2 αυτού)</w:t>
      </w:r>
    </w:p>
    <w:p>
      <w:pPr>
        <w:spacing w:before="240" w:after="240"/>
        <w:rPr>
          <w:lang w:val="el" w:eastAsia="el"/>
        </w:rPr>
      </w:pPr>
      <w:r>
        <w:rPr>
          <w:lang w:val="el" w:eastAsia="el"/>
        </w:rPr>
        <w:t>2. Κεντρική Υπηρεσία ΣΔΟΕ και Περιφερειακές Διευθύνσεις του</w:t>
      </w:r>
    </w:p>
    <w:p>
      <w:pPr>
        <w:spacing w:before="240" w:after="240"/>
        <w:rPr>
          <w:lang w:val="el" w:eastAsia="el"/>
        </w:rPr>
      </w:pPr>
      <w:r>
        <w:rPr>
          <w:lang w:val="el" w:eastAsia="el"/>
        </w:rPr>
        <w:t>3. Διεύθυνση Ηλεκτρονικής Διακυβέρνησης Γ.Γ.Δ.Ε.</w:t>
      </w:r>
    </w:p>
    <w:p>
      <w:pPr>
        <w:spacing w:before="240" w:after="240"/>
        <w:rPr>
          <w:lang w:val="el" w:eastAsia="el"/>
        </w:rPr>
      </w:pPr>
      <w:r>
        <w:rPr>
          <w:lang w:val="el" w:eastAsia="el"/>
        </w:rPr>
        <w:t>4. Διεύθυνση Υποστήριξης Ηλεκτρονικών Υπηρεσιών</w:t>
      </w:r>
    </w:p>
    <w:p>
      <w:pPr>
        <w:spacing w:before="240" w:after="240"/>
        <w:rPr>
          <w:lang w:val="el" w:eastAsia="el"/>
        </w:rPr>
      </w:pPr>
      <w:r>
        <w:rPr>
          <w:lang w:val="el" w:eastAsia="el"/>
        </w:rPr>
        <w:t>(για ανάρτηση στην ιστοσελίδα της Γ.Γ.Δ.Ε.)</w:t>
      </w:r>
    </w:p>
    <w:p>
      <w:pPr>
        <w:spacing w:before="240" w:after="240"/>
        <w:rPr>
          <w:lang w:val="el" w:eastAsia="el"/>
        </w:rPr>
      </w:pPr>
      <w:r>
        <w:rPr>
          <w:lang w:val="el" w:eastAsia="el"/>
        </w:rPr>
        <w:t>5. Δ/νση Παροχής Φορολογικών Υπηρεσιών – Ομάδα Εισοδήματος για την μελέτη και ανάλυση των επιχειρησιακών απαιτήσεων των εφαρμογών Taxis – Taxisnet Ηλεκτρονικής Δ.Ο.Υ. &amp; Υποστήριξης των Δ.Ο.Υ.</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Υπουργείο Οικονομίας, Υποδομών, Ναυτιλίας &amp; Τουρισμού, Γενική Γραμματεία Εμπορίου &amp; Προστασίας Καταναλωτή, Γενική Δ/νση Αγοράς, Δ/νση Εταιρειών &amp; Γ.Ε.ΜΗ. - Τμήμα Γ’, Πλ. Κάνιγγος, Τ.Κ. 101 81, Αθήνα</w:t>
      </w:r>
    </w:p>
    <w:p>
      <w:pPr>
        <w:spacing w:before="240" w:after="240"/>
        <w:rPr>
          <w:lang w:val="el" w:eastAsia="el"/>
        </w:rPr>
      </w:pPr>
      <w:r>
        <w:rPr>
          <w:lang w:val="el" w:eastAsia="el"/>
        </w:rPr>
        <w:t>2. Υπουργείο Οικονομικών, Επιτροπή Λογιστικής Τυποποίησης και Ελέγχων (ΕΛΤΕ), Βουλής 7,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Γενικής Γραμματέως Δημοσίων Εσόδων</w:t>
      </w:r>
    </w:p>
    <w:p>
      <w:pPr>
        <w:spacing w:before="240" w:after="240"/>
        <w:rPr>
          <w:lang w:val="el" w:eastAsia="el"/>
        </w:rPr>
      </w:pPr>
      <w:r>
        <w:rPr>
          <w:lang w:val="el" w:eastAsia="el"/>
        </w:rPr>
        <w:t>3. Γραφείο κ. Γενικού Δ/ντή Φορολογικής Διοίκησης</w:t>
      </w:r>
    </w:p>
    <w:p>
      <w:pPr>
        <w:spacing w:before="240" w:after="240"/>
        <w:rPr>
          <w:lang w:val="el" w:eastAsia="el"/>
        </w:rPr>
      </w:pPr>
      <w:r>
        <w:rPr>
          <w:lang w:val="el" w:eastAsia="el"/>
        </w:rPr>
        <w:t>4. Δ/νση Εφαρμογής Άμεσης Φορολογίας – Τμήματα Α’ (10), Β' (10), Γ’ (5)</w:t>
      </w:r>
    </w:p>
    <w:p>
      <w:pPr>
        <w:spacing w:before="240" w:after="240"/>
        <w:rPr>
          <w:lang w:val="el" w:eastAsia="el"/>
        </w:rPr>
      </w:pPr>
      <w:r>
        <w:rPr>
          <w:lang w:val="el" w:eastAsia="el"/>
        </w:rPr>
        <w:t>5. Αυτοτελές Γραφείο Επικοινωνίας και Δημοσίων Σχέσεων</w:t>
      </w:r>
    </w:p>
    <w:p>
      <w:pPr>
        <w:spacing w:before="240" w:after="240"/>
        <w:rPr>
          <w:lang w:val="el" w:eastAsia="el"/>
        </w:rPr>
      </w:pPr>
      <w:r>
        <w:rPr>
          <w:lang w:val="el" w:eastAsia="el"/>
        </w:rPr>
        <w:t>6.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