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04/08/2015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1173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 ΤΜΗΜΑ Α΄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10672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210 - 3645 378,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Υποβολή καταστάσεων που υποβάλλονταν με την εκκαθαριστική δήλωση ΦΠΑ.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διατάξεις του άρθρου 1 του ν. 4281/2014 καταργήθηκε η υποχρέωση υποβολής της εκκαθαριστικής δήλωσης ΦΠΑ και με τις διατάξεις του άρθρου 22 του 4321/2015 ορίσθηκε ο χρόνος διενέργειας των διακανονισμών.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εγκύκλιο 1149/2015 (περίπτωση δ΄ της παραγράφου 1) διευκρινίσθηκε μεταξύ άλλων ότι, οι καταστάσεις που προβλέπονταν να υποβάλλονται μαζί με την εκκαθαριστική δήλωση (αγορές ή πωλήσεις με τις ΠΟΛ. 1262/1993 και 1029/1995), υποβάλλονται εφεξής στη φορολογική διοίκηση έως την τελευταία εργάσιμη ημέρα του έβδομου μήνα, του επόμενου ημερολογιακού έτους, από το έτος που έληξε η διαχειριστική περίοδος δηλαδή για το 2014 μέχρι 31.7.2015.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την πρώτη εφαρμογή, δεδομένου ότι η παραπάνω εγκύκλιος εκδόθηκε 10.7.2015, δίνεται η δυνατότητα στους υπόχρεους υποβολής των ανωτέρω καταστάσεων να υποβάλλουν αυτές έως και 30.9.2015. Οι εν λόγω καταστάσεις υποβάλλονται στην αρμόδια Δ.Ο.Υ. σε έντυπη μορφή.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Γενική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ΑΥΤΟΤΕΛΟΥΣΤΜΗΜΑΤΟΣ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Αικ.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μόνο οι αριθ. 1,4 και 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Αποδέκτες Πίνακα Α΄ εκτός του αριθ. 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>Αποδέκτες Πίνακα Β΄ μόνο οι αριθ. 3,6,7 και 8.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Αποδέκτες Πίνακα Γ΄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433"/>
        <w:gridCol w:w="433"/>
        <w:gridCol w:w="744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5.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1, 2,9 και 11.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6.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16,19,20, 21, 22, 25,26, 28, 29, 31, 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33, 37,38 και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17.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Αναπληρώτριας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 (ΓΓΔΕ).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Δ.Ε.Ε.Φ - Τμήμα Α΄ ΦΠΑ (10).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