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11.8.2015</w:t>
      </w:r>
    </w:p>
    <w:p>
      <w:pPr>
        <w:spacing w:before="240" w:after="240"/>
        <w:rPr>
          <w:lang w:val="el" w:eastAsia="el"/>
        </w:rPr>
      </w:pPr>
      <w:r>
        <w:rPr>
          <w:b/>
          <w:bCs/>
          <w:lang w:val="el" w:eastAsia="el"/>
        </w:rPr>
        <w:t>ΠΟΛ: 1191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ΕΦΑΡΜΟΓΗΣ ΕΜΜΕΣΗ ΦΟΡΟΛΟΓΙΑΣ ΤΜΗΜΑ Α΄ «ΦΠΑ»</w:t>
      </w:r>
    </w:p>
    <w:p>
      <w:pPr>
        <w:spacing w:before="240" w:after="240"/>
        <w:rPr>
          <w:lang w:val="el" w:eastAsia="el"/>
        </w:rPr>
      </w:pPr>
      <w:r>
        <w:rPr>
          <w:lang w:val="el" w:eastAsia="el"/>
        </w:rPr>
        <w:t xml:space="preserve">2. </w:t>
      </w:r>
      <w:r>
        <w:rPr>
          <w:b/>
          <w:bCs/>
          <w:lang w:val="el" w:eastAsia="el"/>
        </w:rPr>
        <w:t>ΔΙΕΥΘΥΝΣΗ ΠΑΡΟΧΗΣ ΦΟΡΟΛΟΓΙΚΩΝ ΥΠΗΡΕΣΙΩΝ ΤΜΗΜΑ Β΄</w:t>
      </w:r>
    </w:p>
    <w:p>
      <w:pPr>
        <w:spacing w:before="240" w:after="240"/>
        <w:rPr>
          <w:lang w:val="el" w:eastAsia="el"/>
        </w:rPr>
      </w:pPr>
      <w:r>
        <w:rPr>
          <w:lang w:val="el" w:eastAsia="el"/>
        </w:rPr>
        <w:t xml:space="preserve">Ταχ. Δ/νση : Σίνα 2-4 </w:t>
      </w:r>
      <w:r>
        <w:rPr>
          <w:b/>
          <w:bCs/>
          <w:sz w:val="30"/>
          <w:szCs w:val="30"/>
          <w:vertAlign w:val="superscript"/>
          <w:lang w:val="el" w:eastAsia="el"/>
        </w:rPr>
        <w:t xml:space="preserve">ΠΡΟΣ: </w:t>
      </w:r>
      <w:r>
        <w:rPr>
          <w:sz w:val="30"/>
          <w:szCs w:val="30"/>
          <w:vertAlign w:val="superscript"/>
          <w:lang w:val="el" w:eastAsia="el"/>
        </w:rPr>
        <w:t>Ω</w:t>
      </w:r>
      <w:r>
        <w:rPr>
          <w:lang w:val="el" w:eastAsia="el"/>
        </w:rPr>
        <w:t xml:space="preserve">ς </w:t>
      </w:r>
      <w:r>
        <w:rPr>
          <w:sz w:val="30"/>
          <w:szCs w:val="30"/>
          <w:vertAlign w:val="superscript"/>
          <w:lang w:val="el" w:eastAsia="el"/>
        </w:rPr>
        <w:t>Π.Δ.</w:t>
      </w:r>
    </w:p>
    <w:p>
      <w:pPr>
        <w:spacing w:before="240" w:after="240"/>
        <w:rPr>
          <w:lang w:val="el" w:eastAsia="el"/>
        </w:rPr>
      </w:pPr>
      <w:r>
        <w:rPr>
          <w:lang w:val="el" w:eastAsia="el"/>
        </w:rPr>
        <w:t>Ταχ. Κώδικας : 106 72 ΑΘΗΝΑ</w:t>
      </w:r>
    </w:p>
    <w:p>
      <w:pPr>
        <w:spacing w:before="240" w:after="240"/>
        <w:rPr>
          <w:lang w:val="el" w:eastAsia="el"/>
        </w:rPr>
      </w:pPr>
      <w:r>
        <w:rPr>
          <w:lang w:val="el" w:eastAsia="el"/>
        </w:rPr>
        <w:t>Πληροφορίες : Γ. Αναγνωστόπουλος</w:t>
      </w:r>
    </w:p>
    <w:p>
      <w:pPr>
        <w:spacing w:before="240" w:after="240"/>
        <w:rPr>
          <w:lang w:val="el" w:eastAsia="el"/>
        </w:rPr>
      </w:pPr>
      <w:r>
        <w:rPr>
          <w:lang w:val="el" w:eastAsia="el"/>
        </w:rPr>
        <w:t>Τηλέφωνο : 210- 3645378</w:t>
      </w:r>
    </w:p>
    <w:p>
      <w:pPr>
        <w:spacing w:before="240" w:after="240"/>
        <w:rPr>
          <w:lang w:val="el" w:eastAsia="el"/>
        </w:rPr>
      </w:pPr>
      <w:r>
        <w:rPr>
          <w:lang w:val="el" w:eastAsia="el"/>
        </w:rPr>
        <w:t>Fax : 210- 3645413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ΘΕΜΑ: </w:t>
      </w:r>
      <w:r>
        <w:rPr>
          <w:lang w:val="el" w:eastAsia="el"/>
        </w:rPr>
        <w:t>Οδηγίες συμπλήρωσης της δήλωσης Φ.Π.Α. (έντυπο 050 Φ.Π.Α. έκδοση 2015 – Φ2 TAXIS).</w:t>
      </w:r>
    </w:p>
    <w:p>
      <w:pPr>
        <w:spacing w:before="240" w:after="240"/>
        <w:rPr>
          <w:lang w:val="el" w:eastAsia="el"/>
        </w:rPr>
      </w:pPr>
      <w:r>
        <w:rPr>
          <w:lang w:val="el" w:eastAsia="el"/>
        </w:rPr>
        <w:t>1. Με την ΑΓΓΔΕ ΠΟΛ 1182/2015 ορίστηκε ο τύπος και το περιεχόμενο του νέου εντύπου της δήλωσης ΦΠΑ 050 Φ.Π.Α. έκδοση 2015 – Φ2 TAXIS, που ισχύει για δηλώσεις που υποβάλλονται από 1.10.2015 και εφεξής για πράξεις που πραγματοποιούνται, από 1.9.2015 για τους υποκείμενους που υποχρεούνται σε τήρηση διπλογραφικού λογιστικού συστήματος και από 1.7.2015 για υποκείμενους που υποχρεούνται σε τήρηση απλογραφικού λογιστικού συστήματος, ή μη υπόχρεους σε τήρηση βιβλίων και έκδοση στοιχείων σύμφωνα με τη φορολογική νομοθεσία.</w:t>
      </w:r>
    </w:p>
    <w:p>
      <w:pPr>
        <w:spacing w:before="240" w:after="240"/>
        <w:rPr>
          <w:lang w:val="el" w:eastAsia="el"/>
        </w:rPr>
      </w:pPr>
      <w:r>
        <w:rPr>
          <w:lang w:val="el" w:eastAsia="el"/>
        </w:rPr>
        <w:t>2. Το νέο έντυπο της δήλωσης ΦΠΑ περιλαμβάνει τις εξής τροποποιήσεις σε σχέση με το ισχύον έντυπο 050 Φ.Π.Α. έκδοση 2014 – Φ2 TAXIS:</w:t>
      </w:r>
    </w:p>
    <w:p>
      <w:pPr>
        <w:pStyle w:val="StructureList1"/>
        <w:spacing w:before="120" w:after="0"/>
        <w:rPr>
          <w:lang w:val="el" w:eastAsia="el"/>
        </w:rPr>
      </w:pPr>
      <w:r>
        <w:rPr>
          <w:lang w:val="el" w:eastAsia="el"/>
        </w:rPr>
        <w:t>α)</w:t>
      </w:r>
      <w:r>
        <w:rPr>
          <w:lang w:val="en" w:eastAsia="en"/>
        </w:rPr>
        <w:tab/>
      </w:r>
      <w:r>
        <w:rPr>
          <w:lang w:val="el" w:eastAsia="el"/>
        </w:rPr>
        <w:t>Ο συντελεστής ΦΠΑ «6,5%» αντικαταστάθηκε με το συντελεστή «6%» και ο συντελεστής ΦΠΑ «5%» αντικαταστάθηκε με το συντελεστή «4%», σύμφωνα με τα οριζόμενα στο άρθρο 21 του Κώδικα ΦΠΑ, όπως τροποποιήθηκε με την περίπτωση α΄ της παραγράφου 1 το ν. 4334/2015 (ΦΕΚ Α΄ 80/16.7.2015).</w:t>
      </w:r>
    </w:p>
    <w:p>
      <w:pPr>
        <w:pStyle w:val="StructureList1"/>
        <w:spacing w:before="120" w:after="0"/>
        <w:rPr>
          <w:lang w:val="el" w:eastAsia="el"/>
        </w:rPr>
      </w:pPr>
      <w:r>
        <w:rPr>
          <w:lang w:val="el" w:eastAsia="el"/>
        </w:rPr>
        <w:t>β)</w:t>
      </w:r>
      <w:r>
        <w:rPr>
          <w:lang w:val="en" w:eastAsia="en"/>
        </w:rPr>
        <w:tab/>
      </w:r>
      <w:r>
        <w:rPr>
          <w:lang w:val="el" w:eastAsia="el"/>
        </w:rPr>
        <w:t>Το λεκτικό του κωδικού «362» «Αγορές &amp; εισαγωγές επενδυτικών αγαθών» αντικαταστάθηκε με το λεκτικό «Αγορές &amp; εισαγωγές επενδ. αγαθών (πάγια)» και το λεκτικό του κωδικού «363» «Λοιπές εισαγωγές (εκτός επενδυτικών αγαθών)» αντικαταστάθηκε με το λεκτικό «Λοιπές εισαγωγές εκτός επενδ. αγαθών (πάγια)». Οι τροποποιήσεις αυτές κρίθηκαν απαραίτητες προκειμένου να είναι φανερό ότι για σκοπούς ΦΠΑ τα επενδυτικά αγαθά αφορούν τα πάγια στοιχεία της επιχείρησης.</w:t>
      </w:r>
    </w:p>
    <w:p>
      <w:pPr>
        <w:pStyle w:val="StructureList1"/>
        <w:spacing w:before="120" w:after="0"/>
        <w:rPr>
          <w:lang w:val="el" w:eastAsia="el"/>
        </w:rPr>
      </w:pPr>
      <w:r>
        <w:rPr>
          <w:lang w:val="el" w:eastAsia="el"/>
        </w:rPr>
        <w:t>γ)</w:t>
      </w:r>
      <w:r>
        <w:rPr>
          <w:lang w:val="en" w:eastAsia="en"/>
        </w:rPr>
        <w:tab/>
      </w:r>
      <w:r>
        <w:rPr>
          <w:lang w:val="el" w:eastAsia="el"/>
        </w:rPr>
        <w:t>Καταργείται ο κωδικός «501» «ΣΥΝΟΛΙΚΟ ΠΙΣΤΩΤΙΚΟ ΥΠΟΛΟΙΠΟ» καθώς επανασχεδιάστηκε ο πίνακας εκκαθάρισης του φόρου με απλούστερο τρόπο υπολογισμού του φόρου προς έκπτωση, επιστροφή ή καταβολή.</w:t>
      </w:r>
    </w:p>
    <w:p>
      <w:pPr>
        <w:pStyle w:val="StructureList1"/>
        <w:spacing w:before="120" w:after="0"/>
        <w:rPr>
          <w:lang w:val="el" w:eastAsia="el"/>
        </w:rPr>
      </w:pPr>
      <w:r>
        <w:rPr>
          <w:lang w:val="el" w:eastAsia="el"/>
        </w:rPr>
        <w:t>δ)</w:t>
      </w:r>
      <w:r>
        <w:rPr>
          <w:lang w:val="en" w:eastAsia="en"/>
        </w:rPr>
        <w:tab/>
      </w:r>
      <w:r>
        <w:rPr>
          <w:lang w:val="el" w:eastAsia="el"/>
        </w:rPr>
        <w:t>Προστέθηκε ο κωδικός «</w:t>
      </w:r>
      <w:r>
        <w:rPr>
          <w:b/>
          <w:bCs/>
          <w:lang w:val="el" w:eastAsia="el"/>
        </w:rPr>
        <w:t>404</w:t>
      </w:r>
      <w:r>
        <w:rPr>
          <w:lang w:val="el" w:eastAsia="el"/>
        </w:rPr>
        <w:t>» «Φόρος που έχει δεσμευθεί μέσω τραπεζών» στον οποίο θα καταχωρούνται τα ποσά που παρακρατούνται από τις τράπεζες κατά το χρόνο εξόφλησης των συναλλαγών, προκειμένου να αποδοθούν στη φορολογική διοίκηση, σύμφωνα με τα οριζόμενα στην παράγραφο 2 του άρθρου 1 του ν.4334/2015. Ο τρόπος συμπλήρωσης του κωδικού θα οριστεί μετά την έκδοση της απόφασης του Γενικού Γραμματέα Δημοσίων Εσόδων με την οποία θα ρυθμιστεί η διαδικασία εφαρμογής της διάταξης αυτής.</w:t>
      </w:r>
    </w:p>
    <w:p>
      <w:pPr>
        <w:pStyle w:val="StructureList1"/>
        <w:spacing w:before="120" w:after="0"/>
        <w:rPr>
          <w:lang w:val="el" w:eastAsia="el"/>
        </w:rPr>
      </w:pPr>
      <w:r>
        <w:rPr>
          <w:lang w:val="el" w:eastAsia="el"/>
        </w:rPr>
        <w:t>ε)</w:t>
      </w:r>
      <w:r>
        <w:rPr>
          <w:lang w:val="en" w:eastAsia="en"/>
        </w:rPr>
        <w:tab/>
      </w:r>
      <w:r>
        <w:rPr>
          <w:lang w:val="el" w:eastAsia="el"/>
        </w:rPr>
        <w:t>Προστέθηκαν οι κωδικοί «906 - Πωλήσεις α΄ κατοικίας», «907 – Αξία εισροών κωδ. 906» και «908 – Μικτό κέρδος επιχ. άρθρου 43» καθώς η παροχή των πληροφοριών αυτών είναι αναγκαία προκειμένου για τον ορθό υπολογισμό της βάσης των ιδίων πόρων για σκοπούς ΦΠΑ και την συνεισφορά της Χώρας μας στον προϋπολογισμό της Ε.Ε. Για το σκοπό αυτό κρίνεται σημαντική η ορθή συμπλήρωση των κωδικών αυτών. Ειδικότερα:</w:t>
      </w:r>
    </w:p>
    <w:p>
      <w:pPr>
        <w:spacing w:before="240" w:after="240"/>
        <w:rPr>
          <w:lang w:val="el" w:eastAsia="el"/>
        </w:rPr>
      </w:pPr>
      <w:r>
        <w:rPr>
          <w:lang w:val="el" w:eastAsia="el"/>
        </w:rPr>
        <w:t xml:space="preserve">i. Ο κωδ. </w:t>
      </w:r>
      <w:r>
        <w:rPr>
          <w:b/>
          <w:bCs/>
          <w:lang w:val="el" w:eastAsia="el"/>
        </w:rPr>
        <w:t xml:space="preserve">906 </w:t>
      </w:r>
      <w:r>
        <w:rPr>
          <w:lang w:val="el" w:eastAsia="el"/>
        </w:rPr>
        <w:t>συμπληρώνεται μόνο από τις επιχειρήσεις ανέγερσης και πώλησης οικοδομών και σε αυτόν καταχωρείται ανά φορολογική περίοδο η αξία των πωλήσεων που αφορούν α΄ κατοικία από οικοδομή υπαγόμενη σε ΦΠΑ.</w:t>
      </w:r>
    </w:p>
    <w:p>
      <w:pPr>
        <w:spacing w:before="240" w:after="240"/>
        <w:rPr>
          <w:lang w:val="el" w:eastAsia="el"/>
        </w:rPr>
      </w:pPr>
      <w:r>
        <w:rPr>
          <w:lang w:val="el" w:eastAsia="el"/>
        </w:rPr>
        <w:t xml:space="preserve">ii. Στον κωδ. </w:t>
      </w:r>
      <w:r>
        <w:rPr>
          <w:b/>
          <w:bCs/>
          <w:lang w:val="el" w:eastAsia="el"/>
        </w:rPr>
        <w:t xml:space="preserve">907 </w:t>
      </w:r>
      <w:r>
        <w:rPr>
          <w:lang w:val="el" w:eastAsia="el"/>
        </w:rPr>
        <w:t>καταχωρείται η αξία των εισροών ανά φορολογική περίοδο που αντιστοιχούν στις πωλήσεις του κωδ. 906.</w:t>
      </w:r>
    </w:p>
    <w:p>
      <w:pPr>
        <w:spacing w:before="240" w:after="240"/>
        <w:rPr>
          <w:lang w:val="el" w:eastAsia="el"/>
        </w:rPr>
      </w:pPr>
      <w:r>
        <w:rPr>
          <w:lang w:val="el" w:eastAsia="el"/>
        </w:rPr>
        <w:t xml:space="preserve">iii. Στο κωδ. </w:t>
      </w:r>
      <w:r>
        <w:rPr>
          <w:b/>
          <w:bCs/>
          <w:lang w:val="el" w:eastAsia="el"/>
        </w:rPr>
        <w:t xml:space="preserve">908 </w:t>
      </w:r>
      <w:r>
        <w:rPr>
          <w:lang w:val="el" w:eastAsia="el"/>
        </w:rPr>
        <w:t>καταχωρείται ανά φορολογική περίοδο το μικτό κέρδος που φορολογείται με το ειδικό καθεστώς του άρθρου 43 του Κώδικα ΦΠΑ (πρακτορεία ταξιδίων).</w:t>
      </w:r>
    </w:p>
    <w:p>
      <w:pPr>
        <w:spacing w:before="240" w:after="240"/>
        <w:rPr>
          <w:lang w:val="el" w:eastAsia="el"/>
        </w:rPr>
      </w:pPr>
      <w:r>
        <w:rPr>
          <w:lang w:val="el" w:eastAsia="el"/>
        </w:rPr>
        <w:t>3. Οι οδηγίες για το έντυπο της δήλωσης ΦΠΑ 050 – ΦΠΑ ΕΚΔΟΣΗ 2014, Φ2 TAXIS όπως κοινοποιήθηκαν με την ΠΟΛ 1082/2015 συνεχίζουν να ισχύουν με τις εξής διευκρινίσεις:</w:t>
      </w:r>
    </w:p>
    <w:p>
      <w:pPr>
        <w:spacing w:before="240" w:after="240"/>
        <w:rPr>
          <w:lang w:val="el" w:eastAsia="el"/>
        </w:rPr>
      </w:pPr>
      <w:r>
        <w:rPr>
          <w:b/>
          <w:bCs/>
          <w:lang w:val="el" w:eastAsia="el"/>
        </w:rPr>
        <w:t xml:space="preserve">Κωδ. 312: </w:t>
      </w:r>
      <w:r>
        <w:rPr>
          <w:lang w:val="el" w:eastAsia="el"/>
        </w:rPr>
        <w:t>Στο ποσό του κωδικού αυτού δεν καταχωρούνται οι εξαιρούμενες πράξεις που έχουν καταχωρηθεί στον κωδικό «310» π.χ. αποζημιώσεις, μέρισμα δικηγορικού συλλόγου κλπ, με εξαίρεση τις επιδοτήσεις και τις επιχορηγήσεις σύμφωνα με τα οριζόμενα στην ΠΟΛ 1056/2002, οι οποίες συνεχίζουν να καταχωρούνται στον κωδικό αυτό.</w:t>
      </w:r>
    </w:p>
    <w:p>
      <w:pPr>
        <w:spacing w:before="240" w:after="240"/>
        <w:rPr>
          <w:lang w:val="el" w:eastAsia="el"/>
        </w:rPr>
      </w:pPr>
      <w:r>
        <w:rPr>
          <w:b/>
          <w:bCs/>
          <w:lang w:val="el" w:eastAsia="el"/>
        </w:rPr>
        <w:t>Κωδ. 364 - 384</w:t>
      </w:r>
      <w:r>
        <w:rPr>
          <w:lang w:val="el" w:eastAsia="el"/>
        </w:rPr>
        <w:t>: Στους κωδικούς αυτούς καταχωρούνται εκτός των λοιπών πράξεων και η φορολογητέα αξία και ο φόρος αντίστοιχα των ενδοκοινοτικών αποκτήσεων που αφορούν επενδυτικά αγαθά (πάγια).</w:t>
      </w:r>
    </w:p>
    <w:p>
      <w:pPr>
        <w:spacing w:before="240" w:after="240"/>
        <w:rPr>
          <w:lang w:val="el" w:eastAsia="el"/>
        </w:rPr>
      </w:pPr>
      <w:r>
        <w:rPr>
          <w:b/>
          <w:bCs/>
          <w:lang w:val="el" w:eastAsia="el"/>
        </w:rPr>
        <w:t xml:space="preserve">Κωδ. 511: </w:t>
      </w:r>
      <w:r>
        <w:rPr>
          <w:lang w:val="el" w:eastAsia="el"/>
        </w:rPr>
        <w:t>Γράψτε το αλγεβρικό άθροισμα των κωδικών 470+401+403+404-483505 εφόσον έχει αρνητικό πρόσημο, ή το αλγεβρικό άθροισμα των κωδικών 480+483+505-401-403-404 εφόσον έχει θετικό πρόσημο.</w:t>
      </w:r>
    </w:p>
    <w:p>
      <w:pPr>
        <w:spacing w:before="240" w:after="240"/>
        <w:rPr>
          <w:lang w:val="el" w:eastAsia="el"/>
        </w:rPr>
      </w:pPr>
      <w:r>
        <w:rPr>
          <w:lang w:val="el" w:eastAsia="el"/>
        </w:rPr>
        <w:t>Σε περίπτωση που το αιτούμενο ποσό προς επιστροφή (κωδ. 505) είναι μεγαλύτερο από το αλγεβρικό άθροισμα των κωδικών 480+483-401-403-404 ή των κωδικών 470+401+403+404-483, η διαφορά του φόρου προκύπτει προς καταβολή (κωδ. 511). Επισημαίνεται ότι στις περιπτώσεις αυτές εάν ο φορολογούμενος θέλει να αποφευχθεί η βεβαίωση του συνόλου ή μέρους του αιτούμενου προς επιστροφή ποσού μπορεί πριν την υποβολή της σχετικής δήλωσης να ανακαλέσει την αίτηση επιστροφής που έχει υποβάλλει, με την επιφύλαξη της παραγραφής της σχετικής αξίωσης.</w:t>
      </w:r>
    </w:p>
    <w:p>
      <w:pPr>
        <w:spacing w:before="240" w:after="240"/>
        <w:rPr>
          <w:lang w:val="el" w:eastAsia="el"/>
        </w:rPr>
      </w:pPr>
      <w:r>
        <w:rPr>
          <w:b/>
          <w:bCs/>
          <w:lang w:val="el" w:eastAsia="el"/>
        </w:rPr>
        <w:t>Κωδ. 502</w:t>
      </w:r>
      <w:r>
        <w:rPr>
          <w:lang w:val="el" w:eastAsia="el"/>
        </w:rPr>
        <w:t>: Γράψτε το αλγεβρικό άθροισμα των κωδικών 470+401+403+404-483505 εφόσον έχει θετικό πρόσημο, ή το αλγεβρικό άθροισμα των κωδικών 480+483+505401-403-404 εφόσον έχει αρνητικό πρόσημο, που πρέπει να μεταφερθεί προς συμψηφισμό στην επόμενη φορολογική περίοδο.</w:t>
      </w:r>
    </w:p>
    <w:p>
      <w:pPr>
        <w:spacing w:before="240" w:after="240"/>
        <w:rPr>
          <w:lang w:val="el" w:eastAsia="el"/>
        </w:rPr>
      </w:pPr>
      <w:r>
        <w:rPr>
          <w:b/>
          <w:bCs/>
          <w:lang w:val="el" w:eastAsia="el"/>
        </w:rPr>
        <w:t xml:space="preserve">Κωδ. 503: </w:t>
      </w:r>
      <w:r>
        <w:rPr>
          <w:lang w:val="el" w:eastAsia="el"/>
        </w:rPr>
        <w:t>Γράψτε ποσό στον κωδικό αυτό μόνο όταν επιθυμείτε να σας επιστραφεί. Η αναγραφή ποσού στον κωδικό αυτό καταχωρείται ως αίτηση επιστροφής και δεν μπορεί να μεταφερθεί προς έκπτωση στην επόμενη φορολογική περίοδο. Το ποσό του κωδικού αυτού δεν μπορεί να είναι μεγαλύτερο από το ποσό που υφίσταται δικαίωμα έκπτωσης για τη συγκεκριμένη φορολογική περίοδο.</w:t>
      </w:r>
    </w:p>
    <w:p>
      <w:pPr>
        <w:spacing w:before="240" w:after="240"/>
        <w:rPr>
          <w:lang w:val="el" w:eastAsia="el"/>
        </w:rPr>
      </w:pPr>
      <w:r>
        <w:rPr>
          <w:lang w:val="el" w:eastAsia="el"/>
        </w:rPr>
        <w:t>Επισημαίνεται ότι εφόσον συμπληρωθεί ο κωδικός αυτός πρέπει να συμπληρωθεί και ο αριθμός τραπεζικού λογαριασμού (ΙΒΑΝ).</w:t>
      </w:r>
    </w:p>
    <w:p>
      <w:pPr>
        <w:spacing w:before="240" w:after="240"/>
        <w:rPr>
          <w:lang w:val="el" w:eastAsia="el"/>
        </w:rPr>
      </w:pPr>
      <w:r>
        <w:rPr>
          <w:lang w:val="el" w:eastAsia="el"/>
        </w:rPr>
        <w:t>Η υποβολή της αίτησης επιστροφής με ηλεκτρονικό τρόπο πρόκειται σύντομα να υιοθετηθεί. Έως την υλοποίηση αυτής ο υποκείμενος προκειμένου να ζητήσει επιστροφή εξακολουθεί να υποβάλλει έντυπη αίτηση στη Δ.Ο.Υ. που υποβάλλεται η δήλωση.</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Β΄ μόνο οι αριθ. 3,6,7 και 8.</w:t>
      </w:r>
    </w:p>
    <w:p>
      <w:pPr>
        <w:spacing w:before="240" w:after="240"/>
        <w:rPr>
          <w:lang w:val="el" w:eastAsia="el"/>
        </w:rPr>
      </w:pPr>
      <w:r>
        <w:rPr>
          <w:lang w:val="el" w:eastAsia="el"/>
        </w:rPr>
        <w:t>3. Αποδέκτες Πίνακα Γ΄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5"/>
        <w:gridCol w:w="433"/>
        <w:gridCol w:w="433"/>
        <w:gridCol w:w="75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16,19,20, 21, 22, 25,26, 28, 29, 31,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37,38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17.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Αναπληρώτριας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Δ.Ε.Ε.Φ - Τμήμα Α΄ ΦΠΑ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