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lang w:val="el" w:eastAsia="el"/>
        </w:rPr>
        <w:t>ΣΤΑΟΔΔΑΙ:ΑΩΔ4ΙΚ4Τ4ΗΥΟ-ΞΤΥ</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 </w:t>
      </w:r>
      <w:r>
        <w:rPr>
          <w:lang w:val="el" w:eastAsia="el"/>
        </w:rPr>
        <w:t>Κ. Σερβίας 10</w:t>
      </w:r>
    </w:p>
    <w:p>
      <w:pPr>
        <w:spacing w:before="240" w:after="240"/>
        <w:rPr>
          <w:lang w:val="el" w:eastAsia="el"/>
        </w:rPr>
      </w:pPr>
      <w:r>
        <w:rPr>
          <w:b/>
          <w:bCs/>
          <w:lang w:val="el" w:eastAsia="el"/>
        </w:rPr>
        <w:t xml:space="preserve">Ταχ. Κώδικας : </w:t>
      </w: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Μ. Χαπίδης, Ε. Καπούτσου</w:t>
      </w:r>
    </w:p>
    <w:p>
      <w:pPr>
        <w:spacing w:before="240" w:after="240"/>
        <w:rPr>
          <w:lang w:val="el" w:eastAsia="el"/>
        </w:rPr>
      </w:pPr>
      <w:r>
        <w:rPr>
          <w:b/>
          <w:bCs/>
          <w:lang w:val="el" w:eastAsia="el"/>
        </w:rPr>
        <w:t xml:space="preserve">Τηλέφωνο : </w:t>
      </w:r>
      <w:r>
        <w:rPr>
          <w:lang w:val="el" w:eastAsia="el"/>
        </w:rPr>
        <w:t>210 – 3375312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lang w:val="el" w:eastAsia="el"/>
        </w:rPr>
        <w:t>Αθήνα, 21 Οκτωβρίου 2015</w:t>
      </w:r>
    </w:p>
    <w:p>
      <w:pPr>
        <w:spacing w:before="240" w:after="240"/>
        <w:rPr>
          <w:lang w:val="el" w:eastAsia="el"/>
        </w:rPr>
      </w:pPr>
      <w:r>
        <w:rPr>
          <w:b/>
          <w:bCs/>
          <w:lang w:val="el" w:eastAsia="el"/>
        </w:rPr>
        <w:t>ΠΟΛ:1235</w:t>
      </w:r>
    </w:p>
    <w:p>
      <w:pPr>
        <w:spacing w:before="240" w:after="240"/>
        <w:rPr>
          <w:lang w:val="el" w:eastAsia="el"/>
        </w:rPr>
      </w:pPr>
      <w:r>
        <w:rPr>
          <w:b/>
          <w:bCs/>
          <w:lang w:val="el" w:eastAsia="el"/>
        </w:rPr>
        <w:t xml:space="preserve">ΠΡΟΣ: </w:t>
      </w:r>
      <w:r>
        <w:rPr>
          <w:lang w:val="el" w:eastAsia="el"/>
        </w:rPr>
        <w:t>Αποδέκτες Π.Δ.</w:t>
      </w:r>
    </w:p>
    <w:p>
      <w:pPr>
        <w:spacing w:before="240" w:after="240"/>
        <w:rPr>
          <w:lang w:val="el" w:eastAsia="el"/>
        </w:rPr>
      </w:pPr>
      <w:r>
        <w:rPr>
          <w:b/>
          <w:bCs/>
          <w:lang w:val="el" w:eastAsia="el"/>
        </w:rPr>
        <w:t>ΘΕΜΑ: Φορολογική μεταχείριση υπεραξίας που αποκτά νομικό πρόσωπο ή νομική οντότητα από πώληση και επαναμίσθωση (sale and lease back) ακινήτου, μετά την έναρξη ισχύος του ν. 4172/2013.</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παρ. 1 του άρθρου 47 του ν. 4172/2013,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ενώ με τις διατάξεις της παρ. 2 του ίδιου άρθρου και νόμου ορίζεται ότι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spacing w:before="240" w:after="240"/>
        <w:rPr>
          <w:lang w:val="el" w:eastAsia="el"/>
        </w:rPr>
      </w:pPr>
      <w:r>
        <w:rPr>
          <w:lang w:val="el" w:eastAsia="el"/>
        </w:rPr>
        <w:t>2. Περαιτέρω, με τις διατάξεις της παρ. 2 του άρθρου 21 του ν. 4172/2013 ορίζεται ότι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spacing w:before="240" w:after="240"/>
        <w:rPr>
          <w:lang w:val="el" w:eastAsia="el"/>
        </w:rPr>
      </w:pPr>
      <w:r>
        <w:rPr>
          <w:lang w:val="el" w:eastAsia="el"/>
        </w:rPr>
        <w:t>3. Επίσης, με τις διατάξεις της παρ. 28 του άρθρου 72 του ν. 4172/2013, η οποία προστέθηκε με την περ. 22ε΄ της ΥΠΟΠΑΡ. Δ1 του άρθρου πρώτου του ν. 4254/2014 και έχει εφαρμογή, σύμφωνα με την περ. 23 της ΥΠΟΠΑΡ. Δ1 του ίδιου άρθρου και νόμου, από 1.1.2014 και μετά, ορίζεται ότι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spacing w:before="240" w:after="240"/>
        <w:rPr>
          <w:lang w:val="el" w:eastAsia="el"/>
        </w:rPr>
      </w:pPr>
      <w:r>
        <w:rPr>
          <w:lang w:val="el" w:eastAsia="el"/>
        </w:rPr>
        <w:t>4. Στην εισηγητική έκθεση των πιο πάνω διατάξεων ορίζεται ότι για τη μεταβατική περίοδο μέχρι την 1η Ιανουαρίου 2015, οπότε και τίθενται σε ισχύ τα νέα Ελληνικά Λογιστικά Πρότυπα, η υπεραξία που αποκτά ένα νομικό πρόσωπο ή νομική οντότητα από πώληση και επαναμίσθωση ακινήτου αναγνωρίζεται ως έσοδο σύμφωνα με τα οριζόμενα στο Διεθνές Λογιστικό Πρότυπο 17, όπως αυτό υιοθετείται από την Ευρωπαϊκή Ένωση.</w:t>
      </w:r>
    </w:p>
    <w:p>
      <w:pPr>
        <w:spacing w:before="240" w:after="240"/>
        <w:rPr>
          <w:lang w:val="el" w:eastAsia="el"/>
        </w:rPr>
      </w:pPr>
      <w:r>
        <w:rPr>
          <w:lang w:val="el" w:eastAsia="el"/>
        </w:rPr>
        <w:t xml:space="preserve">5. Από τα ανωτέρω προκύπτει ότι για την υπεραξία που αποκτά ένα νομικό πρόσωπο ή νομική οντότητα του άρθρου 45 του ν.4172/2013 από πώληση και επαναμίσθωση (sale and lease back) ακινήτου, </w:t>
      </w:r>
      <w:r>
        <w:rPr>
          <w:b/>
          <w:bCs/>
          <w:lang w:val="el" w:eastAsia="el"/>
        </w:rPr>
        <w:t>για συμβάσεις που συνάφθηκαν την περίοδο από 1.1.2014 έως και 31.12.2014</w:t>
      </w:r>
      <w:r>
        <w:rPr>
          <w:lang w:val="el" w:eastAsia="el"/>
        </w:rPr>
        <w:t>, έχουν εφαρμογή οι διατάξεις της παρ. 28 του άρθρου 72 του ν. 4172/2013, δηλαδή αυτή θα αντιμετωπισθεί, για φορολογικούς σκοπούς, σύμφωνα με τα οριζόμενα στο ΔΛΠ 17. Επισημαίνεται, ότι ο χαρακτηρισμός μιας σύμβασης μίσθωσης ως χρηματοοικονομικής ή λειτουργικής γίνεται με βάση τα οριζόμενα στο άρθρο 24 του ν.4172/2013. Σε περίπτωση πρόωρης εξαγοράς του ακινήτου από τον μισθωτή ή διακοπής της σύμβασης, το εναπομείναν ποσό της υπεραξίας μεταφέρεται στα αποτελέσματα του φορολογικού έτους που έγινε η εξαγορά ή διακόπηκε η σύμβαση.</w:t>
      </w:r>
    </w:p>
    <w:p>
      <w:pPr>
        <w:spacing w:before="240" w:after="240"/>
        <w:rPr>
          <w:lang w:val="el" w:eastAsia="el"/>
        </w:rPr>
      </w:pPr>
      <w:r>
        <w:rPr>
          <w:lang w:val="el" w:eastAsia="el"/>
        </w:rPr>
        <w:t xml:space="preserve">Αναφορικά με την υπεραξία που προκύπτει </w:t>
      </w:r>
      <w:r>
        <w:rPr>
          <w:b/>
          <w:bCs/>
          <w:lang w:val="el" w:eastAsia="el"/>
        </w:rPr>
        <w:t xml:space="preserve">για συμβάσεις που συνάπτονται από την 1.1.2015 και μετά </w:t>
      </w:r>
      <w:r>
        <w:rPr>
          <w:lang w:val="el" w:eastAsia="el"/>
        </w:rPr>
        <w:t xml:space="preserve">και δεδομένου ότι αφενός μεν γι’ αυτήν δεν προβλέπεται από τις διατάξεις του ν. 4172/2013 ειδική φορολογική μεταχείριση, αφετέρου δε το κέρδος από επιχειρηματική δραστηριότητα προσδιορίζεται, σύμφωνα με τις διατάξεις της παρ. 2 του άρθρου 21 του ν. 4172/2013, με βάση το λογαριασμό αποτελεσμάτων χρήσης που συντάσσεται σύμφωνα με το Ελληνικό Λογιστικό Σχέδιο και τον Κώδικα Φορολογικής Απεικόνισης Συναλλαγών (Κ.Φ.Α.Σ.), νυν ν. 4308/2014, συνάγεται ότι η φορολογική μεταχείριση της εν λόγω υπεραξίας δεν διαφέρει από τη λογιστική μεταχείρισή της, όπως αυτή υπαγορεύεται από τις διατάξεις του ν. 4308/2014 (άρθρο 18 παρ. 5 και 6). Επισημαίνεται ότι για τα νομικά πρόσωπα και τις νομικές οντότητες που δυνάμει των διατάξεων της περ. ι΄ της παρ. 1 του άρθρου 30 του ν. 4308/2014 </w:t>
      </w:r>
    </w:p>
    <w:p>
      <w:pPr>
        <w:spacing w:before="240" w:after="240"/>
        <w:rPr>
          <w:lang w:val="el" w:eastAsia="el"/>
        </w:rPr>
      </w:pPr>
      <w:r>
        <w:rPr>
          <w:lang w:val="el" w:eastAsia="el"/>
        </w:rPr>
        <w:t>αντιμετωπίζουν όλες τις συμβάσεις μίσθωσης, συμπεριλαμβανομένων και αυτών της πώλησης καιεπαναμίσθωσης (sale and lease back), σύμφωνα με τη φορολογική νομοθεσία, ήτοι για τις πολύ μικρές οντότητες της περ. γ΄ της παρ. 2 του άρθρου 1 του ίδιου νόμου, η εν λόγω υπεραξία αναγνωρίζεται και φορολογείται ως έσοδο από επιχειρηματική δραστηριότητα στα αποτελέσματα του έτους που προέκυψε, ελλείψει ρητής διάταξης με την οποία να ορίζεται διαφορετική φορολογική μεταχείριση.</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του Αυτοτελούς Τμήματος Διοίκησης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Δ/νση Παροχής Φορολογικών Υπηρεσιών-Τμήμα Β’</w:t>
      </w:r>
    </w:p>
    <w:p>
      <w:pPr>
        <w:spacing w:before="240" w:after="240"/>
        <w:rPr>
          <w:lang w:val="el" w:eastAsia="el"/>
        </w:rPr>
      </w:pPr>
      <w:r>
        <w:rPr>
          <w:lang w:val="el" w:eastAsia="el"/>
        </w:rPr>
        <w:t>4.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Διεύθυνση Ηλεκτρονικής Διακυβέρνησης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αριθμ.1 και 2 αυτού), Ζ΄(εκτός των αριθμών 3, 4 και 7), Η΄, Θ΄, Ι΄, ΙΑ΄,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4. ΣΑΛΑΠΑΤΑΣ ΞΕΝΟΔΟΧΕΙΑΚΗ &amp; ΤΟΥΡΙΣΤΙΚΗ Α.Ε., ΞΕΝΟΔΟΧΕΙΟ «ΠΟΣΕΙΔΩΝ», Λ. Ποσειδώνος 72, Τ.Κ. 175 62 Παλαιό Φάληρο</w:t>
      </w:r>
    </w:p>
    <w:p>
      <w:pPr>
        <w:spacing w:before="240" w:after="240"/>
        <w:rPr>
          <w:lang w:val="el" w:eastAsia="el"/>
        </w:rPr>
      </w:pPr>
      <w:r>
        <w:rPr>
          <w:lang w:val="el" w:eastAsia="el"/>
        </w:rPr>
        <w:t>5. ΑΔΕΛΦΟΙ ΜΠΑΪΡΑΚΤΑΡΗ Α.Ε, Μητροπόλεως 63, Τ.Κ. 105 55 Αθήνα</w:t>
      </w:r>
    </w:p>
    <w:p>
      <w:pPr>
        <w:spacing w:before="240" w:after="240"/>
        <w:rPr>
          <w:lang w:val="el" w:eastAsia="el"/>
        </w:rPr>
      </w:pPr>
      <w:r>
        <w:rPr>
          <w:b/>
          <w:bCs/>
          <w:u w:val="single"/>
          <w:lang w:val="el" w:eastAsia="el"/>
        </w:rPr>
        <w:t xml:space="preserve">ΙΙΙ. </w:t>
      </w:r>
      <w:r>
        <w:rPr>
          <w:b/>
          <w:bCs/>
          <w:u w:val="single"/>
          <w:lang w:val="el" w:eastAsia="el"/>
        </w:rPr>
        <w:t xml:space="preserve">EΣΩΤΕΡΙΚΗ </w:t>
      </w:r>
      <w:r>
        <w:rPr>
          <w:b/>
          <w:bCs/>
          <w:u w:val="single"/>
          <w:lang w:val="el" w:eastAsia="el"/>
        </w:rPr>
        <w:t>ΔΙΑΝΟΜΗ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κου Αναπληρωτή Υπουργού</w:t>
      </w:r>
    </w:p>
    <w:p>
      <w:pPr>
        <w:spacing w:before="240" w:after="240"/>
        <w:rPr>
          <w:lang w:val="el" w:eastAsia="el"/>
        </w:rPr>
      </w:pPr>
      <w:r>
        <w:rPr>
          <w:lang w:val="el" w:eastAsia="el"/>
        </w:rPr>
        <w:t>3. Γραφείο κας. Γενικής Γραμματέως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Γραφείο κ.κ. Γεν. Δ/ντών</w:t>
      </w:r>
    </w:p>
    <w:p>
      <w:pPr>
        <w:spacing w:before="240" w:after="240"/>
        <w:rPr>
          <w:lang w:val="el" w:eastAsia="el"/>
        </w:rPr>
      </w:pPr>
      <w:r>
        <w:rPr>
          <w:lang w:val="el" w:eastAsia="el"/>
        </w:rPr>
        <w:t>6. Αυτοτελές Γραφείο Επικοινωνίας και Δημοσίων Σχέσεων</w:t>
      </w:r>
    </w:p>
    <w:p>
      <w:pPr>
        <w:spacing w:before="240" w:after="240"/>
        <w:rPr>
          <w:lang w:val="el" w:eastAsia="el"/>
        </w:rPr>
      </w:pPr>
      <w:r>
        <w:rPr>
          <w:lang w:val="el" w:eastAsia="el"/>
        </w:rPr>
        <w:t>7. Δ/νση Εφαρμογής Άμεσης Φορολογίας-Τμήματα Α’ (2)- Β’(10)</w:t>
      </w:r>
    </w:p>
    <w:p>
      <w:pPr>
        <w:spacing w:before="240" w:after="240"/>
        <w:rPr>
          <w:lang w:val="el" w:eastAsia="el"/>
        </w:rPr>
      </w:pPr>
      <w:r>
        <w:rPr>
          <w:lang w:val="el" w:eastAsia="el"/>
        </w:rPr>
        <w:t>8. Αυτοτελές Τμήμα Νομικής Υποστήριξης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