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ΡΧ</w:t>
      </w:r>
      <w:r>
        <w:rPr>
          <w:sz w:val="30"/>
          <w:szCs w:val="30"/>
          <w:vertAlign w:val="superscript"/>
          <w:lang w:val="el" w:eastAsia="el"/>
        </w:rPr>
        <w:t>Α</w:t>
      </w:r>
      <w:r>
        <w:rPr>
          <w:b/>
          <w:bCs/>
          <w:lang w:val="el" w:eastAsia="el"/>
        </w:rPr>
        <w:t>ΕΙ</w:t>
      </w:r>
      <w:r>
        <w:rPr>
          <w:sz w:val="30"/>
          <w:szCs w:val="30"/>
          <w:vertAlign w:val="superscript"/>
          <w:lang w:val="el" w:eastAsia="el"/>
        </w:rPr>
        <w:t>Δ</w:t>
      </w:r>
      <w:r>
        <w:rPr>
          <w:b/>
          <w:bCs/>
          <w:lang w:val="el" w:eastAsia="el"/>
        </w:rPr>
        <w:t>Ο</w:t>
      </w:r>
      <w:r>
        <w:rPr>
          <w:sz w:val="30"/>
          <w:szCs w:val="30"/>
          <w:vertAlign w:val="superscript"/>
          <w:lang w:val="el" w:eastAsia="el"/>
        </w:rPr>
        <w:t>Α</w:t>
      </w:r>
      <w:r>
        <w:rPr>
          <w:b/>
          <w:bCs/>
          <w:lang w:val="el" w:eastAsia="el"/>
        </w:rPr>
        <w:t>Υ</w:t>
      </w:r>
      <w:r>
        <w:rPr>
          <w:sz w:val="30"/>
          <w:szCs w:val="30"/>
          <w:vertAlign w:val="superscript"/>
          <w:lang w:val="el" w:eastAsia="el"/>
        </w:rPr>
        <w:t>: Ω</w:t>
      </w:r>
      <w:r>
        <w:rPr>
          <w:b/>
          <w:bCs/>
          <w:lang w:val="el" w:eastAsia="el"/>
        </w:rPr>
        <w:t>3</w:t>
      </w:r>
      <w:r>
        <w:rPr>
          <w:sz w:val="30"/>
          <w:szCs w:val="30"/>
          <w:vertAlign w:val="superscript"/>
          <w:lang w:val="el" w:eastAsia="el"/>
        </w:rPr>
        <w:t>Μ</w:t>
      </w:r>
      <w:r>
        <w:rPr>
          <w:b/>
          <w:bCs/>
          <w:lang w:val="el" w:eastAsia="el"/>
        </w:rPr>
        <w:t>01</w:t>
      </w:r>
      <w:r>
        <w:rPr>
          <w:sz w:val="30"/>
          <w:szCs w:val="30"/>
          <w:vertAlign w:val="superscript"/>
          <w:lang w:val="el" w:eastAsia="el"/>
        </w:rPr>
        <w:t>6</w:t>
      </w:r>
      <w:r>
        <w:rPr>
          <w:b/>
          <w:bCs/>
          <w:lang w:val="el" w:eastAsia="el"/>
        </w:rPr>
        <w:t>.</w:t>
      </w:r>
      <w:r>
        <w:rPr>
          <w:sz w:val="30"/>
          <w:szCs w:val="30"/>
          <w:vertAlign w:val="superscript"/>
          <w:lang w:val="el" w:eastAsia="el"/>
        </w:rPr>
        <w:t>Ν</w:t>
      </w:r>
      <w:r>
        <w:rPr>
          <w:b/>
          <w:bCs/>
          <w:lang w:val="el" w:eastAsia="el"/>
        </w:rPr>
        <w:t>2</w:t>
      </w:r>
      <w:r>
        <w:rPr>
          <w:sz w:val="30"/>
          <w:szCs w:val="30"/>
          <w:vertAlign w:val="superscript"/>
          <w:lang w:val="el" w:eastAsia="el"/>
        </w:rPr>
        <w:t>Η</w:t>
      </w:r>
      <w:r>
        <w:rPr>
          <w:b/>
          <w:bCs/>
          <w:lang w:val="el" w:eastAsia="el"/>
        </w:rPr>
        <w:t xml:space="preserve">1 </w:t>
      </w:r>
      <w:r>
        <w:rPr>
          <w:sz w:val="30"/>
          <w:szCs w:val="30"/>
          <w:vertAlign w:val="superscript"/>
          <w:lang w:val="el" w:eastAsia="el"/>
        </w:rPr>
        <w:t>-Ν4Ε</w:t>
      </w:r>
    </w:p>
    <w:p>
      <w:pPr>
        <w:spacing w:before="240" w:after="240"/>
        <w:rPr>
          <w:lang w:val="el" w:eastAsia="el"/>
        </w:rPr>
      </w:pPr>
      <w:r>
        <w:rPr>
          <w:lang w:val="el" w:eastAsia="el"/>
        </w:rPr>
        <w:t>ΤΕΑ ΣΤΟ ΔΙΑΔΙΚΤΥΟ</w:t>
      </w:r>
    </w:p>
    <w:p>
      <w:pPr>
        <w:spacing w:before="240" w:after="240"/>
        <w:rPr>
          <w:lang w:val="el" w:eastAsia="el"/>
        </w:rPr>
      </w:pPr>
      <w:r>
        <w:rPr>
          <w:lang w:val="el" w:eastAsia="el"/>
        </w:rPr>
        <w:t xml:space="preserve">Ταχ. Δ/νση : Καρ. Σερβίας 10 </w:t>
      </w:r>
      <w:r>
        <w:rPr>
          <w:b/>
          <w:bCs/>
          <w:lang w:val="el" w:eastAsia="el"/>
        </w:rPr>
        <w:t xml:space="preserve">ΠΡΟΣ: </w:t>
      </w:r>
      <w:r>
        <w:rPr>
          <w:lang w:val="el" w:eastAsia="el"/>
        </w:rPr>
        <w:t>Ως Πίνακας Διανομής</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Αγγελική Καρανικόλα</w:t>
      </w:r>
    </w:p>
    <w:p>
      <w:pPr>
        <w:spacing w:before="240" w:after="240"/>
        <w:rPr>
          <w:lang w:val="el" w:eastAsia="el"/>
        </w:rPr>
      </w:pPr>
      <w:r>
        <w:rPr>
          <w:lang w:val="el" w:eastAsia="el"/>
        </w:rPr>
        <w:t>Τηλέφωνο : 210 69 87 513</w:t>
      </w:r>
    </w:p>
    <w:p>
      <w:pPr>
        <w:spacing w:before="240" w:after="240"/>
        <w:rPr>
          <w:lang w:val="el" w:eastAsia="el"/>
        </w:rPr>
      </w:pPr>
      <w:r>
        <w:rPr>
          <w:lang w:val="el" w:eastAsia="el"/>
        </w:rPr>
        <w:t>FAX : 210 69 87 489</w:t>
      </w:r>
    </w:p>
    <w:p>
      <w:pPr>
        <w:spacing w:before="240" w:after="240"/>
        <w:rPr>
          <w:lang w:val="el" w:eastAsia="el"/>
        </w:rPr>
      </w:pPr>
      <w:r>
        <w:rPr>
          <w:lang w:val="el" w:eastAsia="el"/>
        </w:rPr>
        <w:t>Email :</w:t>
      </w:r>
      <w:hyperlink r:id="rId4" w:history="1">
        <w:r>
          <w:rPr>
            <w:rStyle w:val="Hyperlink"/>
            <w:color w:val="0000EE"/>
            <w:u w:color="0000EE"/>
            <w:lang w:val="el" w:eastAsia="el"/>
          </w:rPr>
          <w:t>d17- 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286"/>
        <w:gridCol w:w="79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Κοινοποίηση </w:t>
            </w:r>
            <w:r>
              <w:rPr>
                <w:b/>
                <w:bCs/>
                <w:i w:val="0"/>
                <w:iCs w:val="0"/>
                <w:smallCaps w:val="0"/>
                <w:color w:val="000000"/>
                <w:lang w:val="el" w:eastAsia="el"/>
              </w:rPr>
              <w:t xml:space="preserve">κατ΄εξουσιοδότηση κανονισμού (ΕΕ) 2015/1978 </w:t>
            </w:r>
            <w:r>
              <w:rPr>
                <w:b w:val="0"/>
                <w:bCs w:val="0"/>
                <w:i w:val="0"/>
                <w:iCs w:val="0"/>
                <w:smallCaps w:val="0"/>
                <w:color w:val="000000"/>
                <w:lang w:val="el" w:eastAsia="el"/>
              </w:rPr>
              <w:t>της Επιτροπής της 28</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Αυγούστου 2015 για την </w:t>
            </w:r>
            <w:r>
              <w:rPr>
                <w:b/>
                <w:bCs/>
                <w:i w:val="0"/>
                <w:iCs w:val="0"/>
                <w:smallCaps w:val="0"/>
                <w:color w:val="000000"/>
                <w:lang w:val="el" w:eastAsia="el"/>
              </w:rPr>
              <w:t xml:space="preserve">τροποποίηση του κανονισμού (ΕΕ) αριθ. 978/2012 </w:t>
            </w:r>
            <w:r>
              <w:rPr>
                <w:b w:val="0"/>
                <w:bCs w:val="0"/>
                <w:i w:val="0"/>
                <w:iCs w:val="0"/>
                <w:smallCaps w:val="0"/>
                <w:color w:val="000000"/>
                <w:lang w:val="el" w:eastAsia="el"/>
              </w:rPr>
              <w:t>του Ευρωπαϊκού Κοινοβουλίου και του Συμβουλίου όσον αφορά τις λεπτομέρειες για την εφαρμογή του άρθρου 8 που παρατίθενται στο Παράρτημα VI του εν λόγω κανονισμού.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Η αριθ. </w:t>
            </w:r>
            <w:r>
              <w:rPr>
                <w:b/>
                <w:bCs/>
                <w:i w:val="0"/>
                <w:iCs w:val="0"/>
                <w:smallCaps w:val="0"/>
                <w:color w:val="000000"/>
                <w:lang w:val="el" w:eastAsia="el"/>
              </w:rPr>
              <w:t xml:space="preserve">Δ17Γ5002426ΕΞ2013/18.1.2013 Δ.Υ.Ο </w:t>
            </w:r>
            <w:r>
              <w:rPr>
                <w:b w:val="0"/>
                <w:bCs w:val="0"/>
                <w:i w:val="0"/>
                <w:iCs w:val="0"/>
                <w:smallCaps w:val="0"/>
                <w:color w:val="000000"/>
                <w:lang w:val="el" w:eastAsia="el"/>
              </w:rPr>
              <w:t>(Κοινοποίηση του Καν (ΕΕ) αριθ. 978/2012 του Ευρωπαϊκού Κοινοβουλίου και του Συμβουλίου της 25</w:t>
            </w:r>
            <w:r>
              <w:rPr>
                <w:b w:val="0"/>
                <w:bCs w:val="0"/>
                <w:i w:val="0"/>
                <w:iCs w:val="0"/>
                <w:smallCaps w:val="0"/>
                <w:color w:val="000000"/>
                <w:sz w:val="30"/>
                <w:szCs w:val="30"/>
                <w:vertAlign w:val="superscript"/>
                <w:lang w:val="el" w:eastAsia="el"/>
              </w:rPr>
              <w:t xml:space="preserve">ης </w:t>
            </w:r>
            <w:r>
              <w:rPr>
                <w:b w:val="0"/>
                <w:bCs w:val="0"/>
                <w:i w:val="0"/>
                <w:iCs w:val="0"/>
                <w:smallCaps w:val="0"/>
                <w:color w:val="000000"/>
                <w:lang w:val="el" w:eastAsia="el"/>
              </w:rPr>
              <w:t>Οκτωβρίου 2012 για την εφαρμογή του Συστήματος Γενικευμένων Δασμολογικών Προτιμήσεων και την κατάργηση του Καν (ΕΚ) αριθ. 732/2008- Ορθή Επανάληψη).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Η αριθ. </w:t>
            </w:r>
            <w:r>
              <w:rPr>
                <w:b/>
                <w:bCs/>
                <w:i w:val="0"/>
                <w:iCs w:val="0"/>
                <w:smallCaps w:val="0"/>
                <w:color w:val="000000"/>
                <w:lang w:val="el" w:eastAsia="el"/>
              </w:rPr>
              <w:t xml:space="preserve">Δ17Γ5021207ΕΞ2014/09.09.2014 Δ.Υ.Ο </w:t>
            </w:r>
            <w:r>
              <w:rPr>
                <w:b w:val="0"/>
                <w:bCs w:val="0"/>
                <w:i w:val="0"/>
                <w:iCs w:val="0"/>
                <w:smallCaps w:val="0"/>
                <w:color w:val="000000"/>
                <w:lang w:val="el" w:eastAsia="el"/>
              </w:rPr>
              <w:t>(Κοινοποίηση κατ΄ εξουσιοδότηση Καν (ΕΕ) αριθ. 1421/2013 της Επιτροπής της 30ης Οκτωβρίου 2013 σχετικά με την τροποποίηση των Παραρτημάτων Ι, ΙΙ και IV του Κανονισμού (ΕΕ) αριθ. 978/2012 του Ευρωπαϊκού Κοινοβουλίου και του Συμβουλίου για την εφαρμογή του Συστήματος Γενικευμένων Δασμολογικών Προτιμήσεων).</w:t>
            </w:r>
          </w:p>
        </w:tc>
      </w:tr>
    </w:tbl>
    <w:p>
      <w:pPr>
        <w:spacing w:before="240" w:after="240"/>
        <w:rPr>
          <w:lang w:val="el" w:eastAsia="el"/>
        </w:rPr>
      </w:pPr>
      <w:r>
        <w:rPr>
          <w:lang w:val="el" w:eastAsia="el"/>
        </w:rPr>
        <w:t xml:space="preserve">Σας κοινοποιούμε για ενημέρωση και εφαρμογή, τον </w:t>
      </w:r>
      <w:r>
        <w:rPr>
          <w:b/>
          <w:bCs/>
          <w:lang w:val="el" w:eastAsia="el"/>
        </w:rPr>
        <w:t xml:space="preserve">κατ’ εξουσιοδότηση κανονισμό (ΕΕ) 2015/1978 </w:t>
      </w:r>
      <w:r>
        <w:rPr>
          <w:lang w:val="el" w:eastAsia="el"/>
        </w:rPr>
        <w:t>της Επιτροπής της 28</w:t>
      </w:r>
      <w:r>
        <w:rPr>
          <w:sz w:val="30"/>
          <w:szCs w:val="30"/>
          <w:vertAlign w:val="superscript"/>
          <w:lang w:val="el" w:eastAsia="el"/>
        </w:rPr>
        <w:t>ης</w:t>
      </w:r>
      <w:r>
        <w:rPr>
          <w:lang w:val="el" w:eastAsia="el"/>
        </w:rPr>
        <w:t xml:space="preserve"> Αυγούστου 2015, που δημοσιεύθηκε στην Επίσημη Εφημερίδα της Ευρωπαϊκής Ένωσης (L289/05.11.2015), σχετικά με την </w:t>
      </w:r>
      <w:r>
        <w:rPr>
          <w:b/>
          <w:bCs/>
          <w:lang w:val="el" w:eastAsia="el"/>
        </w:rPr>
        <w:t xml:space="preserve">τροποποίηση </w:t>
      </w:r>
      <w:r>
        <w:rPr>
          <w:lang w:val="el" w:eastAsia="el"/>
        </w:rPr>
        <w:t xml:space="preserve">του Καν (ΕΕ) αριθ. 978/2012, όσον αφορά </w:t>
      </w:r>
      <w:r>
        <w:rPr>
          <w:b/>
          <w:bCs/>
          <w:lang w:val="el" w:eastAsia="el"/>
        </w:rPr>
        <w:t xml:space="preserve">τις λεπτομέρειες για την εφαρμογή του άρθρου 8 που παρατίθενται στο Παράρτημα VΙ </w:t>
      </w:r>
      <w:r>
        <w:rPr>
          <w:lang w:val="el" w:eastAsia="el"/>
        </w:rPr>
        <w:t>του εν λόγω κανονισμού. Ειδικότερα επισημαίνονται τα ακόλουθα:</w:t>
      </w:r>
    </w:p>
    <w:p>
      <w:pPr>
        <w:spacing w:before="240" w:after="240"/>
        <w:rPr>
          <w:lang w:val="el" w:eastAsia="el"/>
        </w:rPr>
      </w:pPr>
      <w:r>
        <w:rPr>
          <w:lang w:val="el" w:eastAsia="el"/>
        </w:rPr>
        <w:t>Σύμφωνα με το άρθρο 8, παράγραφος 1 του Καν (ΕΕ) αριθ. 978/2012, οι δασμολογικές προτιμήσεις που παρέχονται στο πλαίσιο του γενικού καθεστώτος του Συστήματος Γενικευμένων Προτιμήσεων (ΣΓΠ) αναστέλλονται για τα προϊόντα ενός τμήματος του ΣΓΠ καταγωγής δικαιούχου χώρας του ΣΓΠ, όταν η μέση αξία των εισαγωγών αυτών των προϊόντων στην Ένωση από τη δικαιούχο χώρα του ΣΓΠ υπερβαίνει επί τρία συναπτά έτη, τα όρια που αναφέρονται στο Παράρτημα VI. Τα όρια υπολογίζονται ως ποσοστό επί της συνολικής αξίας των εισαγωγών ίδιων προϊόντων στην Ένωση από όλες τις δικαιούχες χώρες του ΣΓΠ.</w:t>
      </w:r>
    </w:p>
    <w:p>
      <w:pPr>
        <w:spacing w:before="240" w:after="240"/>
        <w:rPr>
          <w:lang w:val="el" w:eastAsia="el"/>
        </w:rPr>
      </w:pPr>
      <w:r>
        <w:rPr>
          <w:lang w:val="el" w:eastAsia="el"/>
        </w:rPr>
        <w:t>Επιπρόσθετα, με τον Καν (ΕΕ) αριθ. 1421/2013 της Επιτροπής (κοινοποίηση με το αρ. 2 σχετικό), από την 1</w:t>
      </w:r>
      <w:r>
        <w:rPr>
          <w:sz w:val="30"/>
          <w:szCs w:val="30"/>
          <w:vertAlign w:val="superscript"/>
          <w:lang w:val="el" w:eastAsia="el"/>
        </w:rPr>
        <w:t>η</w:t>
      </w:r>
      <w:r>
        <w:rPr>
          <w:lang w:val="el" w:eastAsia="el"/>
        </w:rPr>
        <w:t xml:space="preserve"> Ιανουαρίου 2015 διαγράφηκαν από τον κατάλογο των δικαιούχων χωρών του γενικού καθεστώτος του ΣΓΠ [Παράρτημα ΙΙ του Καν (ΕΕ) αριθ. 978/2012] ορισμένες χώρες ήτοι Κίνα, Ισημερινός, Μαλδίβες και Ταϊλάνδη, οι οποίες αντιπροσώπευαν σημαντικό μερίδιο εισαγωγών του ΣΓΠ.</w:t>
      </w:r>
    </w:p>
    <w:p>
      <w:pPr>
        <w:spacing w:before="240" w:after="240"/>
        <w:rPr>
          <w:lang w:val="el" w:eastAsia="el"/>
        </w:rPr>
      </w:pPr>
      <w:r>
        <w:rPr>
          <w:lang w:val="el" w:eastAsia="el"/>
        </w:rPr>
        <w:t>Βάσει των ανωτέρω και προκειμένου να διατηρηθεί αναλογικά το ίδιο βάρος των τμημάτων διαβαθμισμένων προϊόντων, όπως ορίζεται στο άρθρο 8 παράγραφος 1 του Καν (EΕ) αριθ.978/2012, τα όρια που αναφέρονται στο Παράρτημα VI του εν λόγω κανονισμού έπρεπε να τροποποιηθούν.</w:t>
      </w:r>
    </w:p>
    <w:p>
      <w:pPr>
        <w:spacing w:before="240" w:after="240"/>
        <w:rPr>
          <w:lang w:val="el" w:eastAsia="el"/>
        </w:rPr>
      </w:pPr>
      <w:r>
        <w:rPr>
          <w:lang w:val="el" w:eastAsia="el"/>
        </w:rPr>
        <w:t xml:space="preserve">Ειδικότερα, με το άρθρο 1 του κοινοποιούμενου κανονισμού, το Παράρτημα VI του Καν (ΕΕ) αριθ. 978/2012 </w:t>
      </w:r>
      <w:r>
        <w:rPr>
          <w:b/>
          <w:bCs/>
          <w:lang w:val="el" w:eastAsia="el"/>
        </w:rPr>
        <w:t xml:space="preserve">αντικαθίσταται </w:t>
      </w:r>
      <w:r>
        <w:rPr>
          <w:lang w:val="el" w:eastAsia="el"/>
        </w:rPr>
        <w:t>από το κείμενο που παρατίθεται στο εν λόγω άρθρο.</w:t>
      </w:r>
    </w:p>
    <w:p>
      <w:pPr>
        <w:spacing w:before="240" w:after="240"/>
        <w:rPr>
          <w:lang w:val="el" w:eastAsia="el"/>
        </w:rPr>
      </w:pPr>
      <w:r>
        <w:rPr>
          <w:lang w:val="el" w:eastAsia="el"/>
        </w:rPr>
        <w:t>Ο κοινοποιούμενος κανονισμός αρχίζει να ισχύει την επόμενη της δημοσίευσής του στην Επίσημη Εφημερίδα της Ευρωπαϊκής Ένωσης (ημερομηνία δημοσίευσης: 05/11/2015) και εφαρμόζεται αναδρομικά από την 1</w:t>
      </w:r>
      <w:r>
        <w:rPr>
          <w:sz w:val="30"/>
          <w:szCs w:val="30"/>
          <w:vertAlign w:val="superscript"/>
          <w:lang w:val="el" w:eastAsia="el"/>
        </w:rPr>
        <w:t>η</w:t>
      </w:r>
      <w:r>
        <w:rPr>
          <w:lang w:val="el" w:eastAsia="el"/>
        </w:rPr>
        <w:t xml:space="preserve"> Ιανουαρίου 2015, ημερομηνία από την οποία οι προαναφερόμενες χώρες έπαψαν να είναι δικαιούχες χώρες του ΣΓΠ.</w:t>
      </w:r>
    </w:p>
    <w:p>
      <w:pPr>
        <w:spacing w:before="240" w:after="240"/>
        <w:rPr>
          <w:lang w:val="el" w:eastAsia="el"/>
        </w:rPr>
      </w:pPr>
      <w:r>
        <w:rPr>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Τελωνειακές Περιφέρειες</w:t>
      </w:r>
    </w:p>
    <w:p>
      <w:pPr>
        <w:spacing w:before="240" w:after="240"/>
        <w:rPr>
          <w:lang w:val="el" w:eastAsia="el"/>
        </w:rPr>
      </w:pPr>
      <w:r>
        <w:rPr>
          <w:lang w:val="el" w:eastAsia="el"/>
        </w:rPr>
        <w:t>(για ενημέρωση των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ΕΛ.Υ.Τ Αττικής και Θεσσαλονίκης</w:t>
      </w:r>
    </w:p>
    <w:p>
      <w:pPr>
        <w:spacing w:before="240" w:after="240"/>
        <w:rPr>
          <w:lang w:val="el" w:eastAsia="el"/>
        </w:rPr>
      </w:pPr>
      <w:r>
        <w:rPr>
          <w:lang w:val="el" w:eastAsia="el"/>
        </w:rPr>
        <w:t>2) Δ/νση Εσωτερικών Υποθέσεων</w:t>
      </w:r>
    </w:p>
    <w:p>
      <w:pPr>
        <w:spacing w:before="240" w:after="240"/>
        <w:rPr>
          <w:lang w:val="el" w:eastAsia="el"/>
        </w:rPr>
      </w:pPr>
      <w:r>
        <w:rPr>
          <w:lang w:val="el" w:eastAsia="el"/>
        </w:rPr>
        <w:t>3) Δ/νση Εσωτερικού Ελέγχου</w:t>
      </w:r>
    </w:p>
    <w:p>
      <w:pPr>
        <w:spacing w:before="240" w:after="240"/>
        <w:rPr>
          <w:lang w:val="el" w:eastAsia="el"/>
        </w:rPr>
      </w:pPr>
      <w:r>
        <w:rPr>
          <w:lang w:val="el" w:eastAsia="el"/>
        </w:rPr>
        <w:t>4) Υπουργείο Παραγωγικής Ανασυγκρότησης, Περιβάλλοντος και Ενέργειας</w:t>
      </w:r>
    </w:p>
    <w:p>
      <w:pPr>
        <w:spacing w:before="240" w:after="240"/>
        <w:rPr>
          <w:lang w:val="el" w:eastAsia="el"/>
        </w:rPr>
      </w:pPr>
      <w:r>
        <w:rPr>
          <w:lang w:val="el" w:eastAsia="el"/>
        </w:rPr>
        <w:t>Δ/νση Αγροτικής Πολιτικής,Διεθνών Σχέσεων &amp; Προώθησης Προϊόντων</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5)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6)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7)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8) Εμπορικά και Βιομηχανικά Επιμελητήρια</w:t>
      </w:r>
    </w:p>
    <w:p>
      <w:pPr>
        <w:spacing w:before="240" w:after="240"/>
        <w:rPr>
          <w:lang w:val="el" w:eastAsia="el"/>
        </w:rPr>
      </w:pPr>
      <w:r>
        <w:rPr>
          <w:lang w:val="el" w:eastAsia="el"/>
        </w:rPr>
        <w:t>9) Επαγγελματικά και Βιοτεχνικά Επιμελητήρια</w:t>
      </w:r>
    </w:p>
    <w:p>
      <w:pPr>
        <w:spacing w:before="240" w:after="240"/>
        <w:rPr>
          <w:lang w:val="el" w:eastAsia="el"/>
        </w:rPr>
      </w:pPr>
      <w:r>
        <w:rPr>
          <w:lang w:val="el" w:eastAsia="el"/>
        </w:rPr>
        <w:t>10)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11)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12)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13)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14)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15)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16)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17) Σύνδεσμος Ελληνικών Επιχ/σεων Εξαγωγής Διακίνησης Φρούτων, Λαχανικών &amp; Χυμών</w:t>
      </w:r>
    </w:p>
    <w:p>
      <w:pPr>
        <w:spacing w:before="240" w:after="240"/>
        <w:rPr>
          <w:lang w:val="el" w:eastAsia="el"/>
        </w:rPr>
      </w:pPr>
      <w:r>
        <w:rPr>
          <w:lang w:val="el" w:eastAsia="el"/>
        </w:rPr>
        <w:t>Ικαρίας 32Α - Τ.Κ 16675, ΑΝΩ ΓΛΥΦΑΔΑ</w:t>
      </w:r>
    </w:p>
    <w:p>
      <w:pPr>
        <w:spacing w:before="240" w:after="240"/>
        <w:rPr>
          <w:lang w:val="el" w:eastAsia="el"/>
        </w:rPr>
      </w:pPr>
      <w:r>
        <w:rPr>
          <w:lang w:val="el" w:eastAsia="el"/>
        </w:rPr>
        <w:t>18)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19)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20)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21)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22)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23)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24) Σύλλογος Εκτελωνιστών Αθήνας – Πειραιά</w:t>
      </w:r>
    </w:p>
    <w:p>
      <w:pPr>
        <w:spacing w:before="240" w:after="240"/>
        <w:rPr>
          <w:lang w:val="el" w:eastAsia="el"/>
        </w:rPr>
      </w:pPr>
      <w:r>
        <w:rPr>
          <w:lang w:val="el" w:eastAsia="el"/>
        </w:rPr>
        <w:t>25)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Δ/νση Διεθνών Οικονομικών Σχέσεων</w:t>
      </w:r>
    </w:p>
    <w:p>
      <w:pPr>
        <w:spacing w:before="240" w:after="240"/>
        <w:rPr>
          <w:lang w:val="el" w:eastAsia="el"/>
        </w:rPr>
      </w:pPr>
      <w:r>
        <w:rPr>
          <w:lang w:val="el" w:eastAsia="el"/>
        </w:rPr>
        <w:t>3)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20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