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ΔΗΜΟΣΙΩΝ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ΔΙΕΥΘΥΝΣΗ ΦΟΡΟΛΟΓΙΚΗΣ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ΔΙΕΥΘΥΝΣΗ ΕΛΕΓΧΩΝ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ΤΜΗΜΑ Ζ΄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(Κ.Φ.Α.Σ.)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 Τηλέφωνο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Καρύδη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210-3638389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210-3641620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ΠΡΟΣ: </w:t>
      </w:r>
      <w:r>
        <w:rPr>
          <w:lang w:val="el" w:eastAsia="el"/>
        </w:rPr>
        <w:t>Ως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«Κοινοποίηση του επισήμου αντιγράφου της γνωμοδότησης υπ’ αριθ. 231/2015 του Β’ τμήματος του Ν.Σ.Κ., αναφορικά με τη δυνατότητα υπαγωγής στις ευνοϊκές διατάξεις της παραγράφου 6 του άρθρου 66 του ν. 4174/2013, υποθέσεων, για τις οποίες την 26.7.2013, είχε ήδη εκδοθεί, αλλά δεν έχει επιδοθεί δικαστική απόφαση.»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επίσημο αντίγραφο της υπ’ αριθ. 231/2015 γνωμοδότησης του Ν.Σ.Κ. (Β΄ τμήμα), η οποία έγινε αποδεκτή από τον Αναπληρωτή Υπουργό Οικονομικών, αναφορικά με τη δυνατότητα υπαγωγής στις ευνοϊκές διατάξεις της παραγράφου 6 του άρθρου 66 του ν. 4174/2013, υποθέσεων, για τις οποίες την 26.7.2013, ημερομηνία δημοσίευσης του νόμου αυτού, είχε ήδη εκδοθεί, αλλά δεν έχει επιδοθεί δικαστική απόφαση, και παρακαλούμε για την ομοιόμορφη εφαρμογής της στις σχετικές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Σύμφωνα με την πιο πάνω γνωμοδότηση, υποθέσεις για τις οποίες στις 26.7.2013, ημερομηνία δημοσίευσης του ν. 4174/2013, είχε ήδη εκδοθεί δικαστική απόφαση, αλλά δεν είχε παρέλθει η προθεσμία για άσκηση έφεσης ή αναίρεσης κατ’ αυτής, μπορούν να υπαχθούν στις ευνοϊκές διατάξεις της παραγράφου 6 του άρθρου 66 του ν. 4174/2013 «Κώδικας Φορολογικής Διαδικασίας».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Ακριβές Αντίγραφο Η Δ/ΝΤΡΙΑ ΕΛΕΓΧΩΝ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Προϊστάμενος της Γραμματείας αα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ΣΤΑΝΤΖΟΥ ΜΑΡΙΑ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ΣΥΝΗΜΜΕΝΑ</w:t>
      </w:r>
      <w:r>
        <w:rPr>
          <w:lang w:val="el" w:eastAsia="el"/>
        </w:rPr>
        <w:t>: Η 231/2015 γνωμοδότηση του Ν.Σ.Κ.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Ι. </w:t>
      </w:r>
      <w:r>
        <w:rPr>
          <w:b/>
          <w:b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 (εκτός από τα αυτοτελή γραφεία Δημόσιας Περιουσίας).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Κεντρική Υπηρεσία Σ.Δ.Ο.Ε. και Περιφερειακές Δ/νσεις.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Υπηρεσία Ερευνών και Διασφάλισης Δημοσίων Εσόδων (Υ.Ε.Δ.Δ.Ε.)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Ζ΄ (εκτός των αρ.3, 4, 6, 10)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Η΄(εκτός των 4, 10,11),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Θ΄ (μόνο στους αρ. 1, 2, 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Ι΄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Αποδέκτες πίνακα ΙΑ΄( μόνο Δικηγορικοί και Συμβολαιογραφικοί σύλλογοι)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Αποδέκτες πίνακα ΙΒ΄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Αποδέκτες πίνακα ΙΣΤ΄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ΦΟΡΟΛΟΓΙΚΕΣ ΠΕΡΙΦΕΡΕΙΕΣ: ΑΘΗΝΩΝ, ΠΕΙΡΑΙΩΣ, ΘΕΣ/ΝΙΚΗΣ,ΠΑΤΡΩΝ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10. Πολυμέρου Λουκία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loukiapolumeroy@gmail.com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ΙΙΙ.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 Αναπληρωτή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Γεν.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Αυτοτελές Γραφείο Επικοινωνίας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Ελέγχων -.Τμήμα Ζ’ (Κ.Φ.Α.Σ.) σε (15) αντίγραφα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Εφαρμογής Άμεσης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Αυτοτελές Τμήμα Νομικής Υποστήριξης της Γ.Γ.Δ.Ε.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loukiapolumeroy@gmail.com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