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ΕΛΛΗΝΙΚΗ ΔΗΜΟΚΡΑΤΙΑ ΥΠΟΥΡΓΕΙΟ ΟΙΚΟΝΟΜΙΚΩΝ 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ΔΙΕΥΘΥΝΣΗ ΦΟΡΟΛΟΓΙΚΗΣ ΔΙΟΙΚΗΣΗΣ ΔΙΕΥΘΥΝΣΗ ΕΙΣΠΡΑΞΕΩΝ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ΤΜΗΜΑΤΑ Ε΄,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Πανεπιστημίου 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Κωδ. : 106 72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Δ. Κούλου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3613274, 3614303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FΑΧ : 210 3635077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της υπ’ αριθ. 382/2014 γνωμοδότησης του Α΄ Τμήματος του Ν.Σ.Κ. σχετικά με το χρόνο παραγραφής των απαιτήσεων που εκχωρούνται στο Δημόσιο, κατ’ εφαρμογή των διατάξεων του άρθρ. 10 του ν. 4224/2013 (Α΄ 288) «Ρυθμίσεις σχετικά με τις Π.Α.Ε.», όπως ισχύει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την υπ’ αριθ. 382/2014 γνωμοδότηση του Α΄ Τμήματος του Νομικού Συμβουλίου του Κράτους (Ν.Σ.Κ.), η οποία εκδόθηκε κατόπιν ερωτήματος της Υπηρεσίας μας και έγινε δεκτή στις 12/12/2015 από τον Αναπληρωτή Υπουργό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υπ’ αριθ. 382/2014 γνωμοδότησή του, το Α΄ Τμήμα του Ν.Σ.Κ. γνωμοδότησε ομόφωνα ότι: α. ο χρόνος παραγραφής των απαιτήσεων που εκχωρούνται στο Δημόσιο, κατ’ εφαρμογή των διατάξεων του άρθρ. 10 του ν. 4224/2013 (Α΄ 288) «Ρυθμίσεις σχετικά με τις Π.Α.Ε.», όπως ισχύει, είναι εικοσαετής και αρχίζει από την ημερομηνία δημοσίευσης της τελεσίδικης απόφασης, με την οποία έχουν αναγνωρισθεί, χωρίς πάντως, ο χρόνος παραγραφής να μπορεί να συμπληρωθεί στο πρόσωπο του Δημοσίου πριν από την πάροδο πέντε ετών από τη λήξη του οικονομικού έτους κατά το οποίο έλαβε χώρα η εν στενή εννοία βεβαίωση των απαιτήσεων ως δημοσίων εσόδων (δηλαδή η καταχώρηση του νόμιμου τίτλου στα βιβλία εισπρακτέων εσόδων) και β. ο παραπάνω χρόνος παραγραφής δεν διαφοροποιείται ανάλογα με την αιτία της εκχωρηθείσας (ως τελεσιδίκως αναγνωρισθείσας) απαίτησης, δηλαδή την προέλευση αυτής από σύμβαση ή αδικοπραξία.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ανωτέρω ισχύουν ανεξαρτήτως του χρόνου κατά τον οποίο η εκχωρηθείσα απαίτηση βεβαιώθηκε προς είσπραξη, δηλαδή είτε βεβαιώθηκε έως και την 31η/12/2014, οπότε έχει εφαρμογή η διάταξη της παραγράφου 4 του άρθρου 86 του ν. 2362/1995, είτε βεβαιώθηκε από 1η/1/2015, οπότε έχει εφαρμογή η ταυτόσημου περιεχομένου διάταξη της παραγράφου 4 του άρθρου 136 του ν. 4270/2014.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αρμόδια υπηρεσία του Ν.Σ.Κ, στο οποίο κοινοποιείται το παρόν, παρακαλείται να προβεί στις νόμιμες ενέργειες για την ανάρτηση της ως άνω υπ’ αριθ. 382/2014 γνωμοδότησης του Α΄ Τμήματος του Ν.Σ.Κ. στο «ΔΙΑΥΓΕΙΑ».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Συν: </w:t>
      </w:r>
      <w:r>
        <w:rPr>
          <w:lang w:val="el" w:eastAsia="el"/>
        </w:rPr>
        <w:t>ακριβές αντίγραφο της υπ’ αρίθ. 382/2014 γνωμοδότησης του Α΄ Τμήματος του Ν.Σ.Κ.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Αυτοτελούς Τμήματος Διοίκησης Η Προϊσταμένη της Διεύθυνσης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ΕΥΑΝΘΙΑ ΧΑΤΖΗΠΑΝΑΓΙΩΤΟΥ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Όλες οι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Κέντρο Ελέγχου Μεγάλων Επιχειρήσεων (Κ.Ε.ΜΕ.ΕΠ)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Κέντρο Ελέγχου Φορολογουμένων Μεγάλου Πλούτου (Κ.Ε.ΦΟ.ΜΕ.Π.)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Όλα τα Τελωνεία και τα Τοπικά Τελωνειακά Γραφεία αυτών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Επιχειρησιακή Μονάδα Είσπραξης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Διεύθυνση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Νομικό Συμβούλιο του Κράτους (Ν.Σ.Κ.)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Αναπληρωτή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Προϊσταμένου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Εισπράξεων – Τμήματα Α,Β,Γ,Δ,Ε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