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ΓΕΝ. Δ/ΝΣΗ ΦΟΡΟΛΟΓΙΚΗΣ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Κώδ: 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210-3375188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210-3375354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ΑΘΗΝΑ, 14 Ιανουαρίου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υπ. αρ. 258/2015 γνωμοδότησης του Νομικού Συμβουλίου του Κράτους σχετικά με την επιβολή κυρώσεων σε περίπτωση μη απόδοσης, ανακριβούς ή εκπρόθεσμης απόδοσης στην αρμόδια Δ.Ο.Υ. και την διαδικασία βεβαίωσης κατόπιν φορολογικού ελέγχου του ποσοστού 5% επί των νοσηλίων που εισπράττουν και υποχρεούνται να καταβάλλουν στο Δημόσιο οι Μονάδες Χρόνιας Αιμοκάθαρσης (Μ.Χ.Α.) που λειτουργούν βάσει των διατάξεων του π.δ. 225/2000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Σχετικά με το παραπάνω θέμα, σας κοινοποιούμε προς ενημέρωση σας την υπ. αρ. 258/2015 γνωμοδότηση του Νομικού Συμβουλίου του Κράτους (Β΄ Τμήμα), η οποία έγινε αποδεκτή από τον Αναπληρωτή Υπουργό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εν λόγω γνωμοδότηση έγινε δεκτό ομόφωνα ότι: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Ανεξάρτητα από τη νομική φύση της επιβάρυνσης, σε ποσοστό 5% επί των νοσηλίων που εισπράττουν και υποχρεούνται να καταβάλλουν στο Δημόσιο οι Μονάδες Χρόνιας Αιμοκάθαρσης (Μ.Χ.Α.) που λειτουργούν βάσει των διατάξεων του π.δ. 225/2000, σε περίπτωση μη απόδοσης, ανακριβούς ή εκπρόθεσμης απόδοσης της, στην αρμόδια Δ.Ο.Υ. εφαρμογή έχουν οι διατάξεις του ν. 2523/1997 και όχι του ν.4174/2013 (Κώδικας Φορολογικής Διαδικασίας), η δε διαδικασία βεβαίωσης της, μετά από διενέργεια φορολογικού ελέγχου, είναι η προβλεπόμενη στις διατάξεις της Υ3β/Γ.Π./οικ. 35106/28-03-2011 (Β΄ 647/19-04-2011) κοινής Απόφασης των Υπουργών Οικονομικών και Υγείας και Κοινωνικής Αλληλεγγύης.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ΤΟΥ 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ΣΥΝΗΜΜΕΝΑ: </w:t>
      </w:r>
      <w:r>
        <w:rPr>
          <w:lang w:val="el" w:eastAsia="el"/>
        </w:rPr>
        <w:t>Η υπ. αρ. 258/2015 γνωμοδότηση του Νομικού Συμβουλίου του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Κέντρο Ελέγχου Μεγάλων Επιχειρήσεων (Κ.Ε.ΜΕ.ΕΠ.)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Κέντρο Ελέγχου Φορολογουμένων Μεγάλου Πλούτου (Κ.Ε.ΦΟ.ΜΕ.Π.)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Όλες οι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Υπουργείο Υγείας, Αριστοτέλους 17, 10187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Η΄ (εκτός των αριθ. 4, 10 και 11) &amp; ΙΓ΄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Νομικό Συμβούλιο του Κράτους-Ακαδημίας 68 &amp; Χαρ. Τρικούπη, 10678,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Ειδικό Γραφείο Νομικού Συμβούλου Φορολογίας-Ακαδημίας 68 &amp; Χαρ. Τρικούπη, 10678,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Συμβούλιο της Επικρατείας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Γενικός Επίτροπος Επικρατείας επί των Τακτικών Διοικητικών Δικαστηρίων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ΠΟΕ – ΔΟΥ, Ομήρου 18, 106 72,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Περιοδικό «Φορολογική Επιθεώρηση», Λεωχάρους 2, 105 62,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Αναπληρωτού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Γενικού Γραμματέα Πληροφοριακών Συστημάτων και Διοικητικής Υποστήριξης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Ειδικού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Προϊσταμένων Γενικών Διευθύνσεων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Διευθύνσεις Γενικών Διευθύνσεων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Νομικής Υποστήριξης Γ.Δ.Φ.Δ.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Διεύθυνση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Ελέγχων- Τμήμα Β΄ (2 αντίγραφα), Α΄, Γ΄, Δ΄, Ε΄, Ζ΄, Η΄ και 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Διεύθυνση Ηλεκτρονικής Διακυβέρνησης Γ.Γ.Δ.Ε. (2 αντίγραφα)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Αυτοτελές Γραφείο Επικοινωνίας και Δημοσίων Σχέσεων (20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