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r>
        <w:rPr>
          <w:lang w:val="el" w:eastAsia="el"/>
        </w:rPr>
        <w:t xml:space="preserve"> Καρ. Σερβίας 10 </w:t>
      </w:r>
      <w:r>
        <w:rPr>
          <w:b/>
          <w:bCs/>
          <w:lang w:val="el" w:eastAsia="el"/>
        </w:rPr>
        <w:t>ΠΟΛ:1079</w:t>
      </w:r>
    </w:p>
    <w:p>
      <w:pPr>
        <w:spacing w:before="240" w:after="240"/>
        <w:rPr>
          <w:lang w:val="el" w:eastAsia="el"/>
        </w:rPr>
      </w:pPr>
      <w:r>
        <w:rPr>
          <w:b/>
          <w:bCs/>
          <w:lang w:val="el" w:eastAsia="el"/>
        </w:rPr>
        <w:t xml:space="preserve">Ταχ. Κώδ.: </w:t>
      </w:r>
      <w:r>
        <w:rPr>
          <w:lang w:val="el" w:eastAsia="el"/>
        </w:rPr>
        <w:t xml:space="preserve">101 84 ΑΘΗΝΑ </w:t>
      </w: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Πληροφορίες: </w:t>
      </w:r>
      <w:r>
        <w:rPr>
          <w:lang w:val="el" w:eastAsia="el"/>
        </w:rPr>
        <w:t>Ε. Πλάνη</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σχετικά με τον χρόνο έναρξης διενέργειας αποσβέσεων στα άυλα στοιχεία, τα δικαιώματα και τα έξοδα πολυετούς απόσβεσης με βάση τις διατάξεις του άρθρου 24 του ν.4172/2013.</w:t>
      </w:r>
    </w:p>
    <w:p>
      <w:pPr>
        <w:spacing w:before="240" w:after="240"/>
        <w:rPr>
          <w:lang w:val="el" w:eastAsia="el"/>
        </w:rPr>
      </w:pPr>
      <w:r>
        <w:rPr>
          <w:lang w:val="el" w:eastAsia="el"/>
        </w:rPr>
        <w:t>Με αφορμή προφορικά και γραπτά ερωτήματα που έχουν τεθεί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24 του ν.4172/2013, όπως ισχύουν, καθορίζονται οι φορολογικές αποσβέσεις οι οποίες εκπίπτουν από το σύνολο των εσόδων από επιχειρηματικές συναλλαγές προκειμένου για τον προσδιορισμό του κέρδους από επιχειρηματική δραστηριότητα.</w:t>
      </w:r>
    </w:p>
    <w:p>
      <w:pPr>
        <w:spacing w:before="240" w:after="240"/>
        <w:rPr>
          <w:lang w:val="el" w:eastAsia="el"/>
        </w:rPr>
      </w:pPr>
      <w:r>
        <w:rPr>
          <w:lang w:val="el" w:eastAsia="el"/>
        </w:rPr>
        <w:t>Ειδικότερα, με τις διατάξεις της παρ. 4 του άρθρου 24 του νόμου αυτού ορίζεται ότι τα άυλα στοιχεία και δικαιώματα καθώς και τα έξοδα πολυετούς απόσβεσης αποσβένονται με συντελεστή 10%. Ο συντελεστής αυτός για τα άυλα στοιχεία και δικαιώματα ισχύει, εφόσον δεν προκύπτει συμβατικά από την αρχική συμφωνία οικονομική διάρκεια ζωής διαφορετική των δέκα (10) ετών, οπότε και ο συντελεστής διαμορφώνεται ως το πηλίκο «1 διά έτη διάρκειας ζωής δικαιώματος».</w:t>
      </w:r>
    </w:p>
    <w:p>
      <w:pPr>
        <w:spacing w:before="240" w:after="240"/>
        <w:rPr>
          <w:lang w:val="el" w:eastAsia="el"/>
        </w:rPr>
      </w:pPr>
      <w:r>
        <w:rPr>
          <w:lang w:val="el" w:eastAsia="el"/>
        </w:rPr>
        <w:t>2. Επιπλέον, με τις διατάξεις της παρ. 5 του ίδιου ως άνω άρθρου και νόμου ορίζεται, ότι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 ενώ με τις διατάξεις της παρ. 6 ορίζεται, ότι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spacing w:before="240" w:after="240"/>
        <w:rPr>
          <w:lang w:val="el" w:eastAsia="el"/>
        </w:rPr>
      </w:pPr>
      <w:r>
        <w:rPr>
          <w:lang w:val="el" w:eastAsia="el"/>
        </w:rPr>
        <w:t>3. Ενόψει των ανωτέρω και δεδομένου ότι αφενός με τις διατάξεις της παραγράφου 4 του άρθρου 24 προσδιορίζεται ο συντελεστής διενέργειας απόσβεσης για τα άυλα στοιχεία και δικαιώματα και αφετέρου ότι οι διατάξεις της παρ. 6 του άρθρου 24 του ν.4172/2013 δεν κάνουν διάκριση ως προς τον χρόνο έναρξης διενέργειας των αποσβέσεων μεταξύ των ενσώματων και ασώματων (άυλων) πάγιων περιουσιακών στοιχείων, συνάγεται, ότι η απόσβεση των άυλων περιουσιακών στοιχείων και δικαιωμάτων αρχίζει και στην περίπτωση αυτή από τον επόμενο μήνα εντός του οποίου ξεκινά η χρήση ή εκμετάλλευση των εν λόγω παγίων, ανεξάρτητα αν, από την εκμετάλλευσή τους, η επιχείρηση αποκόμισε εν τέλει έσοδα ή όχι. Σε περίπτωση που ο χρόνος έναρξης της φορολογικής απόσβεσης δεν συμπίπτει με την έναρξη του φορολογικού έτους, κατά περίπτωση, η απόσβεση των άυλων στοιχείων και δικαιωμάτων υπολογίζεται σε τόσα δωδέκατα της ετήσιας απόσβεσης, όσοι είναι οι μήνες μέχρι το τέλος του έτους αυτού, αρχής γενομένης από τον μήνα εντός του οποίου ξεκίνησε η απόσβεση.</w:t>
      </w:r>
    </w:p>
    <w:p>
      <w:pPr>
        <w:spacing w:before="240" w:after="240"/>
        <w:rPr>
          <w:lang w:val="el" w:eastAsia="el"/>
        </w:rPr>
      </w:pPr>
      <w:r>
        <w:rPr>
          <w:lang w:val="el" w:eastAsia="el"/>
        </w:rPr>
        <w:t>Όσον αφορά στα έξοδα πολυετούς απόσβεσης (όπως είναι τα έξοδα πρώτης εγκατάστασης και κτήσης ακινήτων, κ.λπ.) που πραγματοποιήθηκαν μετά την έναρξη ισχύος του ν.4172/2013 και πριν από την εφαρμογή των Ελληνικών Λογιστικών Προτύπων (ν.4308/2014), η απόσβεση αυτών ξεκινά από τον επόμενο μήνα εντός του οποίου πραγματοποιήθηκαν καθόσον, λόγω της φύσης των εξόδων αυτών, δεν νοείται η χρησιμοποίησή ή εκμετάλλευσή τους από την επιχείρηση σε χρόνο μεταγενέστερο από αυτόν της πραγματοποίησής τους.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Η Προϊσταμένη του Αυτοτελούς </w:t>
      </w:r>
      <w:r>
        <w:rPr>
          <w:b/>
          <w:bCs/>
          <w:lang w:val="el" w:eastAsia="el"/>
        </w:rPr>
        <w:t xml:space="preserve">Ο ΓΕΝΙΚΟΣ ΓΡΑΜΜΑΤΕΑΣ ΔΗΜΟΣΙΩΝ ΕΣΟΔΩΝ </w:t>
      </w:r>
      <w:r>
        <w:rPr>
          <w:lang w:val="el" w:eastAsia="el"/>
        </w:rPr>
        <w:t xml:space="preserve">Τμήματος Διοίκησης </w:t>
      </w: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(e - 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w:t>
      </w:r>
    </w:p>
    <w:p>
      <w:pPr>
        <w:spacing w:before="240" w:after="240"/>
        <w:rPr>
          <w:lang w:val="el" w:eastAsia="el"/>
        </w:rPr>
      </w:pPr>
      <w:r>
        <w:rPr>
          <w:lang w:val="el" w:eastAsia="el"/>
        </w:rPr>
        <w:t>&amp; Προστασίας Καταναλωτή, Γενική Δ/νση Αγοράς, Δ/νση Εταιρειών &amp; Γ.Ε.ΜΗ., Πλ.</w:t>
      </w:r>
    </w:p>
    <w:p>
      <w:pPr>
        <w:spacing w:before="240" w:after="240"/>
        <w:rPr>
          <w:lang w:val="el" w:eastAsia="el"/>
        </w:rPr>
      </w:pPr>
      <w:r>
        <w:rPr>
          <w:lang w:val="el" w:eastAsia="el"/>
        </w:rPr>
        <w:t>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ΣΩΜΑ ΟΡΚΩΤΩΝ ΕΛΕΓΚΤΩΝ ΛΟΓΙΣΤΩΝ, Καποδιστρίου 28, Τ.Κ. 106 82,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 της Γ.Γ.Δ.Ε.</w:t>
      </w:r>
    </w:p>
    <w:p>
      <w:pPr>
        <w:spacing w:before="240" w:after="240"/>
        <w:rPr>
          <w:lang w:val="el" w:eastAsia="el"/>
        </w:rPr>
      </w:pPr>
      <w:r>
        <w:rPr>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