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23.6.2016</w:t>
      </w:r>
    </w:p>
    <w:p>
      <w:pPr>
        <w:spacing w:before="240" w:after="240"/>
        <w:rPr>
          <w:lang w:val="el" w:eastAsia="el"/>
        </w:rPr>
      </w:pPr>
      <w:r>
        <w:rPr>
          <w:b/>
          <w:bCs/>
          <w:lang w:val="el" w:eastAsia="el"/>
        </w:rPr>
        <w:t>ΠΟΛ: 1093</w:t>
      </w:r>
    </w:p>
    <w:p>
      <w:pPr>
        <w:spacing w:before="240" w:after="240"/>
        <w:rPr>
          <w:lang w:val="el" w:eastAsia="el"/>
        </w:rPr>
      </w:pPr>
      <w:r>
        <w:rPr>
          <w:i/>
          <w:iCs/>
          <w:lang w:val="el" w:eastAsia="el"/>
        </w:rPr>
        <w:t>ΑΝΑΡΤΗΤΕΑ ΣΤΟ ΔΙΑΔΙΚΤΥΟ</w:t>
      </w:r>
    </w:p>
    <w:p>
      <w:pPr>
        <w:spacing w:before="240" w:after="240"/>
        <w:rPr>
          <w:lang w:val="el" w:eastAsia="el"/>
        </w:rPr>
      </w:pPr>
      <w:r>
        <w:rPr>
          <w:b/>
          <w:bCs/>
          <w:lang w:val="el" w:eastAsia="el"/>
        </w:rPr>
        <w:t>2. ΔΙΕΥΘΥΝΣΗ ΠΑΡΟΧΗΣ ΦΟΡΟΛΟΓΙΚΩΝ ΥΠΗΡΕΣΙΩΝ ΤΜΗΜΑ Β΄</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Μ. Ξερνού</w:t>
      </w:r>
    </w:p>
    <w:p>
      <w:pPr>
        <w:spacing w:before="240" w:after="240"/>
        <w:rPr>
          <w:lang w:val="el" w:eastAsia="el"/>
        </w:rPr>
      </w:pPr>
      <w:r>
        <w:rPr>
          <w:lang w:val="el" w:eastAsia="el"/>
        </w:rPr>
        <w:t>: 210- 3645378</w:t>
      </w:r>
    </w:p>
    <w:p>
      <w:pPr>
        <w:spacing w:before="240" w:after="240"/>
        <w:rPr>
          <w:lang w:val="el" w:eastAsia="el"/>
        </w:rPr>
      </w:pPr>
      <w:r>
        <w:rPr>
          <w:lang w:val="el" w:eastAsia="el"/>
        </w:rPr>
        <w:t>: 210- 3645413</w:t>
      </w:r>
    </w:p>
    <w:p>
      <w:pPr>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ΘΕΜΑ: </w:t>
      </w:r>
      <w:r>
        <w:rPr>
          <w:lang w:val="el" w:eastAsia="el"/>
        </w:rPr>
        <w:t>Οδηγίες συμπλήρωσης της δήλωσης Φ.Π.Α. (έντυπο 050 Φ.Π.Α. έκδοση 2016 – Φ2 TAXIS).</w:t>
      </w:r>
    </w:p>
    <w:p>
      <w:pPr>
        <w:spacing w:before="240" w:after="240"/>
        <w:rPr>
          <w:lang w:val="el" w:eastAsia="el"/>
        </w:rPr>
      </w:pPr>
      <w:r>
        <w:rPr>
          <w:lang w:val="el" w:eastAsia="el"/>
        </w:rPr>
        <w:t xml:space="preserve">1. Με την ΑΓΓΔΕ ΠΟΛ 1084/2016 (ΦΕΚ Β΄1943/29.6.2016) ορίστηκε ο τύπος και το περιεχόμενο του νέου εντύπου της δήλωσης ΦΠΑ «050 Φ.Π.Α. έκδοση </w:t>
      </w:r>
      <w:r>
        <w:rPr>
          <w:b/>
          <w:bCs/>
          <w:lang w:val="el" w:eastAsia="el"/>
        </w:rPr>
        <w:t xml:space="preserve">2016 </w:t>
      </w:r>
      <w:r>
        <w:rPr>
          <w:lang w:val="el" w:eastAsia="el"/>
        </w:rPr>
        <w:t>– Φ2 TAXIS», που ισχύει για πράξεις που πραγματοποιούνται από 1.7.2016 και εφεξής σύμφωνα με τα ειδικότερα αναφερόμενα σε αυτή.</w:t>
      </w:r>
    </w:p>
    <w:p>
      <w:pPr>
        <w:spacing w:before="240" w:after="240"/>
        <w:rPr>
          <w:lang w:val="el" w:eastAsia="el"/>
        </w:rPr>
      </w:pPr>
      <w:r>
        <w:rPr>
          <w:lang w:val="el" w:eastAsia="el"/>
        </w:rPr>
        <w:t>2. Το νέο έντυπο της δήλωσης ΦΠΑ περιλαμβάνει τις εξής τροποποιήσεις σε σχέση με το ισχύον έντυπο 050 Φ.Π.Α. έκδοση 2015 – Φ2 TAXIS:</w:t>
      </w:r>
    </w:p>
    <w:p>
      <w:pPr>
        <w:pStyle w:val="StructureList1"/>
        <w:spacing w:before="120" w:after="0"/>
        <w:rPr>
          <w:lang w:val="el" w:eastAsia="el"/>
        </w:rPr>
      </w:pPr>
      <w:r>
        <w:rPr>
          <w:lang w:val="el" w:eastAsia="el"/>
        </w:rPr>
        <w:t>α)</w:t>
      </w:r>
      <w:r>
        <w:rPr>
          <w:lang w:val="en" w:eastAsia="en"/>
        </w:rPr>
        <w:tab/>
      </w:r>
      <w:r>
        <w:rPr>
          <w:b/>
          <w:bCs/>
          <w:lang w:val="el" w:eastAsia="el"/>
        </w:rPr>
        <w:t>Καταργήθηκε το λεκτικό «Αν η δήλωση είναι έκτακτη, ο κωδ. 006 δεν συμπληρώνεται» στο άνω μέρος του εντύπου, καθώς απαιτείται η συμπλήρωση του κωδικού «006» σε ορισμένες περιπτώσεις υποβολής έκτακτης δήλωσης.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συντελεστής ΦΠΑ «23%» αντικαταστάθηκε με το συντελεστή «24%» και ο συντελεστής ΦΠΑ «16%» αντικαταστάθηκε με το συντελεστή «17%», σύμφωνα με τα οριζόμενα στο άρθρο 21 του Κώδικα ΦΠΑ, όπως τροποποιήθηκε με τις διατάξεις του άρθρου 52 του ν.4389/2016 (ΦΕΚ Α΄ 94/27.5.2016). Διευκρινίσεις παρασχέθηκαν με την εγκύκλιο ΠΟΛ 1061/2016.</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Το λεκτικό του κωδικού «403» τροποποιήθηκε ώστε να ανταποκρίνεται καλύτερα στο περιεχόμενό του. Ειδικότερα το λεκτικό τροποποιήθηκε ως εξής «Βεβαιωμένο ποσό κωδ. 511 προηγ. δηλώσεων της ίδιας φορ. περιόδου» αντί του λεκτικού «Χρεωστικό προηγ. δήλωσης της ίδιας φορολ. περιόδου». Όπως είχε διευκρινιστεί στην εγκύκλιο ΠΟΛ 1082/2015 στον κωδικό αυτό αναγράφεται το ποσό που βεβαιώθηκε βάσει των προηγούμενων χρεωστικών δηλώσεων της ίδιας φορολογικής περιόδου. Ο κωδικός αυτός συμπληρώνεται </w:t>
      </w:r>
      <w:r>
        <w:rPr>
          <w:b/>
          <w:bCs/>
          <w:u w:val="single"/>
          <w:lang w:val="el" w:eastAsia="el"/>
        </w:rPr>
        <w:t>μόνο</w:t>
      </w:r>
      <w:r>
        <w:rPr>
          <w:b/>
          <w:bCs/>
          <w:lang w:val="el" w:eastAsia="el"/>
        </w:rPr>
        <w:t xml:space="preserve"> στην περίπτωση που για την ίδια φορολογική περίοδο υποβάλλονται μία ή περισσότερες τροποποιητικές δηλώσεις. Με την παρούσα διευκρινίζεται επίσης ότι στον κωδικό αυτό αναγράφεται ουσιαστικά το σύνολο των ποσών του κωδικού 511 των προηγούμενων δηλώσεων της </w:t>
      </w:r>
      <w:r>
        <w:rPr>
          <w:b/>
          <w:bCs/>
          <w:u w:val="single"/>
          <w:lang w:val="el" w:eastAsia="el"/>
        </w:rPr>
        <w:t>ίδιας</w:t>
      </w:r>
      <w:r>
        <w:rPr>
          <w:b/>
          <w:bCs/>
          <w:lang w:val="el" w:eastAsia="el"/>
        </w:rPr>
        <w:t xml:space="preserve"> φορολογικής περιόδου το οποίο έχει βεβαιωθεί, δηλαδή υπάρχει η υποχρέωση καταβολής του στη Φορολογική Διοίκηση. Επισημαίνεται ότι ποσά μέχρι και τριάντα ευρώ (30,00 €) που αναγράφονται στον κωδικό 511 σε προηγούμενες δηλώσεις </w:t>
      </w:r>
      <w:r>
        <w:rPr>
          <w:b/>
          <w:bCs/>
          <w:lang w:val="el" w:eastAsia="el"/>
        </w:rPr>
        <w:t xml:space="preserve">δεν </w:t>
      </w:r>
      <w:r>
        <w:rPr>
          <w:b/>
          <w:bCs/>
          <w:lang w:val="el" w:eastAsia="el"/>
        </w:rPr>
        <w:t xml:space="preserve">μεταφέρονται στον κωδικό αυτό (με εξαίρεση τις περιπτώσεις παύσης εργασιών/μετάταξης από το κανονικό καθεστώς) καθώς δεν έχουν βεβαιωθεί. Τα ποσά αυτά θα μεταφερθούν στον κωδικό 483 της </w:t>
      </w:r>
      <w:r>
        <w:rPr>
          <w:b/>
          <w:bCs/>
          <w:u w:val="single"/>
          <w:lang w:val="el" w:eastAsia="el"/>
        </w:rPr>
        <w:t>επόμενης</w:t>
      </w:r>
      <w:r>
        <w:rPr>
          <w:b/>
          <w:bCs/>
          <w:lang w:val="el" w:eastAsia="el"/>
        </w:rPr>
        <w:t xml:space="preserve"> φορολογικής περιόδου.</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Στον κωδικό «507» προστέθηκε νέα αιτία επιστροφής του πιστωτικού υπολοίπου με λεκτικό «ΜΕΙΩΣΗ ΧΡΕΩΣΤ. ΥΠΟΛ.». H αιτία αυτή θα διαγραμμίζεται με «Χ» μόνο στην περίπτωση που με την υποβολή τροποποιητικής δήλωσης δημιουργείται πιστωτικό υπόλοιπο λόγω μείωσης του χρεωστικού υπολοίπου της αρχικής δήλωσης, κατ’ εφαρμογή της ΑΓΓΔΕ ΠΟΛ 1104/2015. </w:t>
      </w:r>
      <w:r>
        <w:rPr>
          <w:b/>
          <w:bCs/>
          <w:u w:val="single"/>
          <w:lang w:val="el" w:eastAsia="el"/>
        </w:rPr>
        <w:t>Σημειώνεται ότι όπως αναφέρεται στην παράγραφο 7 της ανωτέρω Απόφασης για την διαγραφή της αρχικής βεβαίωσης απαιτείται η αναγραφή του σχετικού ποσού στον κωδ. «503» της δήλωσης</w:t>
      </w:r>
      <w:r>
        <w:rPr>
          <w:b/>
          <w:bCs/>
          <w:lang w:val="el" w:eastAsia="el"/>
        </w:rPr>
        <w:t>.</w:t>
      </w:r>
    </w:p>
    <w:p>
      <w:pPr>
        <w:pStyle w:val="StructureList1"/>
        <w:spacing w:before="120" w:after="0"/>
        <w:rPr>
          <w:lang w:val="el" w:eastAsia="el"/>
        </w:rPr>
      </w:pPr>
      <w:r>
        <w:rPr>
          <w:b/>
          <w:bCs/>
          <w:lang w:val="el" w:eastAsia="el"/>
        </w:rPr>
        <w:t>ε)</w:t>
      </w:r>
      <w:r>
        <w:rPr>
          <w:b/>
          <w:bCs/>
          <w:lang w:val="en" w:eastAsia="en"/>
        </w:rPr>
        <w:tab/>
      </w:r>
      <w:r>
        <w:rPr>
          <w:b/>
          <w:bCs/>
          <w:lang w:val="el" w:eastAsia="el"/>
        </w:rPr>
        <w:t>Στη δεύτερη παραπομπή στο κάτω μέρος του εντύπου προστέθηκε η φράση «φορολογητέας δραστηριότητας» μετα την φράση «** χρεωστικό υπόλοιπο μέχρι τριάντα (30) ευρώ μεταφέρεται για καταβολή στην επόμενη φορολογική περίοδο, με εξαίρεση την παύση εργασιών» προκειμένου να είναι σαφές τι περιλαμβάνει ο κωδικός 511 στον οποιο αφορά η παραπομπή.</w:t>
      </w:r>
    </w:p>
    <w:p>
      <w:pPr>
        <w:spacing w:before="240" w:after="240"/>
        <w:rPr>
          <w:lang w:val="el" w:eastAsia="el"/>
        </w:rPr>
      </w:pPr>
      <w:r>
        <w:rPr>
          <w:b/>
          <w:bCs/>
          <w:lang w:val="el" w:eastAsia="el"/>
        </w:rPr>
        <w:t>3. Οι οδηγίες συμπλήρωσης της δήλωσης ΦΠΑ, όπως κοινοποιήθηκαν με τις ΠΟΛ 1082/2015 και ΠΟΛ 1191/2015 συνεχίζουν να ισχύουν με τις εξής διευκρινίσεις: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Στον κωδ. 907 καταχωρείται η αξία των </w:t>
      </w:r>
      <w:r>
        <w:rPr>
          <w:b/>
          <w:bCs/>
          <w:u w:val="single"/>
          <w:lang w:val="el" w:eastAsia="el"/>
        </w:rPr>
        <w:t>φορολογητέων</w:t>
      </w:r>
      <w:r>
        <w:rPr>
          <w:b/>
          <w:bCs/>
          <w:lang w:val="el" w:eastAsia="el"/>
        </w:rPr>
        <w:t xml:space="preserve"> εισροών ανά φορολογική περίοδο που αντιστοιχούν στις πωλήσεις του κωδ. 906.</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Επισημαίνεται ότι, στην περίπτωση που κατά τα ανωτέρω δεν υπάρχει υποχρέωση καταβολής για τα ποσά μέχρι και τριάντα ευρώ (30,00 €) που αναγράφονται στον κωδικό 511 και τα ποσά αυτά μεταφέρονται για καταβολή στην επόμενη φορολογική περίοδο στον κωδικό «483» , οι δηλώσεις ΦΠΑ </w:t>
      </w:r>
      <w:r>
        <w:rPr>
          <w:b/>
          <w:bCs/>
          <w:u w:val="single"/>
          <w:lang w:val="el" w:eastAsia="el"/>
        </w:rPr>
        <w:t>θεωρούνται μηδενικές</w:t>
      </w:r>
      <w:r>
        <w:rPr>
          <w:b/>
          <w:bCs/>
          <w:lang w:val="el" w:eastAsia="el"/>
        </w:rPr>
        <w:t>.</w:t>
      </w:r>
    </w:p>
    <w:p>
      <w:pPr>
        <w:spacing w:before="240" w:after="240"/>
        <w:rPr>
          <w:lang w:val="el" w:eastAsia="el"/>
        </w:rPr>
      </w:pPr>
      <w:r>
        <w:rPr>
          <w:b/>
          <w:bCs/>
          <w:lang w:val="el" w:eastAsia="el"/>
        </w:rPr>
        <w:t>Ο ΓΕΝΙΚΟΣ ΓΡΑΜΑΤΕΑΣΔΗΜΟΣΙΩΝ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μόνο οι αριθ. 1,4 και 5.</w:t>
      </w:r>
    </w:p>
    <w:p>
      <w:pPr>
        <w:spacing w:before="240" w:after="240"/>
        <w:rPr>
          <w:lang w:val="el" w:eastAsia="el"/>
        </w:rPr>
      </w:pPr>
      <w:r>
        <w:rPr>
          <w:b/>
          <w:bCs/>
          <w:lang w:val="el" w:eastAsia="el"/>
        </w:rPr>
        <w:t>2. Υπηρεσία TAXISnet για ανάρτηση στην ιστοσελίδα της ΓΓΠΣ.</w:t>
      </w:r>
    </w:p>
    <w:p>
      <w:pPr>
        <w:spacing w:before="240" w:after="240"/>
        <w:rPr>
          <w:lang w:val="el" w:eastAsia="el"/>
        </w:rPr>
      </w:pPr>
      <w:r>
        <w:rPr>
          <w:b/>
          <w:bCs/>
          <w:lang w:val="el" w:eastAsia="el"/>
        </w:rPr>
        <w:t>3.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909"/>
        <w:gridCol w:w="909"/>
        <w:gridCol w:w="6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 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Γραφείο Υπουργού Οικονομικών.</w:t>
      </w:r>
    </w:p>
    <w:p>
      <w:pPr>
        <w:spacing w:before="240" w:after="240"/>
        <w:rPr>
          <w:lang w:val="el" w:eastAsia="el"/>
        </w:rPr>
      </w:pPr>
      <w:r>
        <w:rPr>
          <w:b/>
          <w:bCs/>
          <w:lang w:val="el" w:eastAsia="el"/>
        </w:rPr>
        <w:t>2. Γραφείο Αναπληρωτή 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Γ.Γ.Π.Σ.</w:t>
      </w:r>
    </w:p>
    <w:p>
      <w:pPr>
        <w:spacing w:before="240" w:after="240"/>
        <w:rPr>
          <w:lang w:val="el" w:eastAsia="el"/>
        </w:rPr>
      </w:pPr>
      <w:r>
        <w:rPr>
          <w:b/>
          <w:bCs/>
          <w:lang w:val="el" w:eastAsia="el"/>
        </w:rPr>
        <w:t>6. Γραφείο κ. κ. Γενικών Διευθυντών.</w:t>
      </w:r>
    </w:p>
    <w:p>
      <w:pPr>
        <w:spacing w:before="240" w:after="240"/>
        <w:rPr>
          <w:lang w:val="el" w:eastAsia="el"/>
        </w:rPr>
      </w:pPr>
      <w:r>
        <w:rPr>
          <w:b/>
          <w:bCs/>
          <w:lang w:val="el" w:eastAsia="el"/>
        </w:rPr>
        <w:t>7. Αυτοτελές Γραφείο Επικοινωνίας και Δημοσίων Σχέσεων (ΓΓΔΕ).</w:t>
      </w:r>
    </w:p>
    <w:p>
      <w:pPr>
        <w:spacing w:before="240" w:after="240"/>
        <w:rPr>
          <w:lang w:val="el" w:eastAsia="el"/>
        </w:rPr>
      </w:pPr>
      <w:r>
        <w:rPr>
          <w:b/>
          <w:bCs/>
          <w:lang w:val="el" w:eastAsia="el"/>
        </w:rPr>
        <w:t>8. Δ.Ε.Ε.Φ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