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25/7/2016</w:t>
      </w:r>
    </w:p>
    <w:p>
      <w:pPr>
        <w:spacing w:before="240" w:after="240"/>
        <w:rPr>
          <w:lang w:val="el" w:eastAsia="el"/>
        </w:rPr>
      </w:pPr>
      <w:r>
        <w:rPr>
          <w:b/>
          <w:bCs/>
          <w:lang w:val="el" w:eastAsia="el"/>
        </w:rPr>
        <w:t>ΠΟΛ.: 1112</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Ταχ.Κώδικας : 10672 ΑΘΗΝΑ</w:t>
      </w:r>
    </w:p>
    <w:p>
      <w:pPr>
        <w:spacing w:before="240" w:after="240"/>
        <w:rPr>
          <w:lang w:val="el" w:eastAsia="el"/>
        </w:rPr>
      </w:pPr>
      <w:r>
        <w:rPr>
          <w:b/>
          <w:bCs/>
          <w:lang w:val="el" w:eastAsia="el"/>
        </w:rPr>
        <w:t>Πληρ. : Μ. Ξερνού, Ε. Ορφανάκη</w:t>
      </w:r>
    </w:p>
    <w:p>
      <w:pPr>
        <w:spacing w:before="240" w:after="240"/>
        <w:rPr>
          <w:lang w:val="el" w:eastAsia="el"/>
        </w:rPr>
      </w:pPr>
      <w:r>
        <w:rPr>
          <w:b/>
          <w:bCs/>
          <w:lang w:val="el" w:eastAsia="el"/>
        </w:rPr>
        <w:t>Τηλέφωνο : 210 - 3645832</w:t>
      </w:r>
    </w:p>
    <w:p>
      <w:pPr>
        <w:spacing w:before="240" w:after="240"/>
        <w:rPr>
          <w:lang w:val="el" w:eastAsia="el"/>
        </w:rPr>
      </w:pPr>
      <w:r>
        <w:rPr>
          <w:b/>
          <w:bCs/>
          <w:lang w:val="el" w:eastAsia="el"/>
        </w:rPr>
        <w:t>FAX : 210 - 3645413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Κοινοποίηση διατάξεων του άρθρου «Τροποποιήσεις του άρθρου 58 Α του ν.</w:t>
      </w:r>
    </w:p>
    <w:p>
      <w:pPr>
        <w:spacing w:before="240" w:after="240"/>
        <w:rPr>
          <w:lang w:val="el" w:eastAsia="el"/>
        </w:rPr>
      </w:pPr>
      <w:r>
        <w:rPr>
          <w:b/>
          <w:bCs/>
          <w:lang w:val="el" w:eastAsia="el"/>
        </w:rPr>
        <w:t xml:space="preserve">4174/2013» του κατατεθέντος στην Βουλή των Ελλήνων προς ψήφιση σχεδίου νόμου </w:t>
      </w:r>
      <w:r>
        <w:rPr>
          <w:lang w:val="el" w:eastAsia="el"/>
        </w:rPr>
        <w:t xml:space="preserve">«Τροποποιήσεις του Εθνικού Τελωνειακού Κώδικα προς ενίσχυση της καταπολέμησης της παράνομης εμπορίας καπνού και βιομηχανοποιημένων καπνών και Ίδρυση Συντονιστικού Κέντρου για την Καταπολέμηση του Λαθρεμπορίου, εναρμόνιση της ελληνικής νομοθεσίας προς την Απόφαση 2009/917/ΔΕΥ του Συμβουλίου της 30ης Νοεμβρίου 2009 για τη χρήση της πληροφορικής για τελωνειακούς σκοπούς και άλλες διατάξεις αρμοδιότητας Υπουργείου Οικονομικών και ενσωμάτωση στην εθνική νομοθεσία των άρθρων 15, 16 και 18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κρατών-μελών σχετικά με την κατασκευή, την παρουσίαση και την πώληση προϊόντων καπνού και συναφών προϊόντων και την κατάργηση της Οδηγίας 2001/37/ΕΚ», </w:t>
      </w:r>
      <w:r>
        <w:rPr>
          <w:b/>
          <w:bCs/>
          <w:lang w:val="el" w:eastAsia="el"/>
        </w:rPr>
        <w:t xml:space="preserve">αναφορικά με τα πρόστιμα για παραβάσεις σχετικές με τον φόρο προστιθέμενης αξίας </w:t>
      </w:r>
      <w:r>
        <w:rPr>
          <w:lang w:val="el" w:eastAsia="el"/>
        </w:rPr>
        <w:t>.</w:t>
      </w:r>
    </w:p>
    <w:p>
      <w:pPr>
        <w:spacing w:before="240" w:after="240"/>
        <w:rPr>
          <w:lang w:val="el" w:eastAsia="el"/>
        </w:rPr>
      </w:pPr>
      <w:r>
        <w:rPr>
          <w:lang w:val="el" w:eastAsia="el"/>
        </w:rPr>
        <w:t>Κοινοποιούμε τις διατάξεις του ως άνω άρθρου του ανωτέρω σχεδίου νόμου , αναφορικά με την τροποποίηση του άρθρου 58 Α του ν. 4174/2013 και παρέχουμε οδηγίες και διευκρινίσεις για την ορθή και ομοιόμορφη εφαρμογή τους.</w:t>
      </w:r>
    </w:p>
    <w:p>
      <w:pPr>
        <w:spacing w:before="240" w:after="240"/>
        <w:rPr>
          <w:lang w:val="el" w:eastAsia="el"/>
        </w:rPr>
      </w:pPr>
      <w:r>
        <w:rPr>
          <w:lang w:val="el" w:eastAsia="el"/>
        </w:rPr>
        <w:t>1. Με τις κοινοποιούμενες διατάξεις, οι οποίες ισχύουν για παραβάσεις που διαπιστώνονται από 25.7.2016, αντικαθίσταται η παράγραφος 1 του άρθρου 58 Α του ν. 4174/2013 και προβλέπεται πλέον ένα ελάχιστο ύψος προστίμου για το σύνολο των παραβάσεων μη έκδοσης ή ανακριβούς έκδοσης ή λήψης φορολογικών στοιχείων της παραγράφου 1 του άρθρου 58 Α, ανά φορολογικό έλεγχο, ενώ σε περίπτωση υποτροπής ορίζεται η προσαύξηση των προστίμων αυτών.</w:t>
      </w:r>
    </w:p>
    <w:p>
      <w:pPr>
        <w:spacing w:before="240" w:after="240"/>
        <w:rPr>
          <w:lang w:val="el" w:eastAsia="el"/>
        </w:rPr>
      </w:pPr>
      <w:r>
        <w:rPr>
          <w:lang w:val="el" w:eastAsia="el"/>
        </w:rPr>
        <w:t>Ειδικότερα, με τις ανωτέρω διατάξεις ορίζεται ότι στην περίπτωση μη έκδοσης φορολογικού στοιχείου, ή έκδοσης ή λήψης ανακριβούς φορολογικού στοιχείου, για πράξη</w:t>
      </w:r>
    </w:p>
    <w:p>
      <w:pPr>
        <w:spacing w:before="240" w:after="240"/>
        <w:rPr>
          <w:lang w:val="el" w:eastAsia="el"/>
        </w:rPr>
      </w:pPr>
      <w:r>
        <w:rPr>
          <w:lang w:val="el" w:eastAsia="el"/>
        </w:rPr>
        <w:t>ΑΔΑ: 795ΝΗ-Δ37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p>
    <w:p>
      <w:pPr>
        <w:spacing w:before="240" w:after="240"/>
        <w:rPr>
          <w:lang w:val="el" w:eastAsia="el"/>
        </w:rPr>
      </w:pPr>
      <w:r>
        <w:rPr>
          <w:lang w:val="el" w:eastAsia="el"/>
        </w:rPr>
        <w:t xml:space="preserve">Το πρόστιμο αυτό δεν μπορεί να είναι κατώτερο, </w:t>
      </w:r>
      <w:r>
        <w:rPr>
          <w:b/>
          <w:bCs/>
          <w:lang w:val="el" w:eastAsia="el"/>
        </w:rPr>
        <w:t>αθροιστικά ανά φορολογικό έλεγχο</w:t>
      </w:r>
      <w:r>
        <w:rPr>
          <w:lang w:val="el" w:eastAsia="el"/>
        </w:rPr>
        <w:t>,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w:t>
      </w:r>
    </w:p>
    <w:p>
      <w:pPr>
        <w:spacing w:before="240" w:after="240"/>
        <w:rPr>
          <w:lang w:val="el" w:eastAsia="el"/>
        </w:rPr>
      </w:pPr>
      <w:r>
        <w:rPr>
          <w:lang w:val="el" w:eastAsia="el"/>
        </w:rPr>
        <w:t xml:space="preserve">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φόρου λόγω έκδοσης ή λήψης ανακριβούς στοιχείου, το οποίο δεν μπορεί να είναι κατώτερο, </w:t>
      </w:r>
      <w:r>
        <w:rPr>
          <w:b/>
          <w:bCs/>
          <w:lang w:val="el" w:eastAsia="el"/>
        </w:rPr>
        <w:t>αθροιστικά ανά φορολογικό έλεγχο</w:t>
      </w:r>
      <w:r>
        <w:rPr>
          <w:lang w:val="el" w:eastAsia="el"/>
        </w:rPr>
        <w:t>,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w:t>
      </w:r>
    </w:p>
    <w:p>
      <w:pPr>
        <w:spacing w:before="240" w:after="240"/>
        <w:rPr>
          <w:lang w:val="el" w:eastAsia="el"/>
        </w:rPr>
      </w:pPr>
      <w:r>
        <w:rPr>
          <w:lang w:val="el" w:eastAsia="el"/>
        </w:rPr>
        <w:t xml:space="preserve">Στην περίπτωση κάθε επόμενης διάπραξης της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φόρου λόγω έκδοσης ή λήψης ανακριβούς στοιχείου, το οποίο δεν μπορεί να είναι κατώτερο, </w:t>
      </w:r>
      <w:r>
        <w:rPr>
          <w:b/>
          <w:bCs/>
          <w:lang w:val="el" w:eastAsia="el"/>
        </w:rPr>
        <w:t>αθροιστικά ανά φορολογικό έλεγχο</w:t>
      </w:r>
      <w:r>
        <w:rPr>
          <w:lang w:val="el" w:eastAsia="el"/>
        </w:rPr>
        <w:t>,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spacing w:before="240" w:after="240"/>
        <w:rPr>
          <w:lang w:val="el" w:eastAsia="el"/>
        </w:rPr>
      </w:pPr>
      <w:r>
        <w:rPr>
          <w:lang w:val="el" w:eastAsia="el"/>
        </w:rPr>
        <w:t>2. Περαιτέρω, σύμφωνα με την παράγραφο 2 του ιδίου ως άνω άρθρου, με την οποία αντικαθίσταται η παράγραφος 5 του άρθρου 58Α του ν.4174/2013, στις περιπτώσεις που επιβάλλονται τα πρόστιμα για παραβάσεις των παρ. 1, 3 και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 Ειδικά στην περίπτωση επιβολής προστίμων για παραβάσεις της παρ. 1 για τις οποίες συντρέχει και περίπτωση παράβασης της παρ. 2, αφαιρείται το αναλογικό πρόστιμο του 50% και όχι το ελάχιστο πρόστιμο των 250 ή 500 ευρώ, ή το επιβληθέν σε επόμενους ελέγχους διπλάσιο ή τετραπλάσιο πρόστιμο για διάπραξη ίδιων παραβάσεων εντός πενταετίας.</w:t>
      </w:r>
    </w:p>
    <w:p>
      <w:pPr>
        <w:spacing w:before="240" w:after="240"/>
        <w:rPr>
          <w:lang w:val="el" w:eastAsia="el"/>
        </w:rPr>
      </w:pPr>
      <w:r>
        <w:rPr>
          <w:lang w:val="el" w:eastAsia="el"/>
        </w:rPr>
        <w:t xml:space="preserve">Με την αντικατάσταση της παραγράφου 5, καταρχήν, διατηρείται η πρόβλεψη περί μη σώρευσης των προστίμων της παρ. 2 με τα πρόστιμα των λοιπών παραγράφων του άρθρου 58 Α. Ειδικά για την αποφυγή της σώρευσης των προστίμων των παραγράφων 1 και 2, στις περιπτώσεις διαπίστωσης παραβάσεων ανακρίβειας της παραγράφου 2 που οφείλεται </w:t>
      </w:r>
      <w:r>
        <w:rPr>
          <w:b/>
          <w:bCs/>
          <w:lang w:val="el" w:eastAsia="el"/>
        </w:rPr>
        <w:t xml:space="preserve">και </w:t>
      </w:r>
      <w:r>
        <w:rPr>
          <w:lang w:val="el" w:eastAsia="el"/>
        </w:rPr>
        <w:t>σε περιπτώσεις παραβάσεων της παραγράφου 1, δηλαδή ο φορολογούμενος δεν καταχώρησε, ως όφειλε, στην ελεγχόμενη δήλωση, τα ποσά και το φόρο των ανακριβώς εκδοθέντων ή μη εκδοθέντων στοιχείων και για το λόγο αυτό σε προγενέστερο χρόνο είχε επιβληθεί πρόστιμο, από το συνολικό πρόστιμο της παραγράφου 2 αφαιρείται το 50% του φόρου που αντιστοιχεί στο μη εκδοθέν ή στο ανακριβώς εκδοθέν φορολογικό στοιχείο και όχι το ελάχιστα επιβαλλόμενο πρόστιμο των 250 ευρώ, 500 ευρώ κλπ. Διευκρινίζεται ότι σε κάθε περίπτωση αφαίρεσης του προστίμου της παραγράφου 1 από αυτό της παραγράφου 2, λόγω ταυτόχρονης εφαρμογής, δεν απομένει υπόλοιπο προς επιστροφή.</w:t>
      </w:r>
    </w:p>
    <w:p>
      <w:pPr>
        <w:spacing w:before="240" w:after="240"/>
        <w:rPr>
          <w:lang w:val="el" w:eastAsia="el"/>
        </w:rPr>
      </w:pPr>
      <w:r>
        <w:rPr>
          <w:lang w:val="el" w:eastAsia="el"/>
        </w:rPr>
        <w:t>3. Τέλος, με την παράγραφο 3 του ιδίου ως άνω άρθρου ορίζεται έναρξη ισχύος των προηγούμενων παραγράφων η 25</w:t>
      </w:r>
      <w:r>
        <w:rPr>
          <w:sz w:val="30"/>
          <w:szCs w:val="30"/>
          <w:vertAlign w:val="superscript"/>
          <w:lang w:val="el" w:eastAsia="el"/>
        </w:rPr>
        <w:t>η</w:t>
      </w:r>
      <w:r>
        <w:rPr>
          <w:lang w:val="el" w:eastAsia="el"/>
        </w:rPr>
        <w:t xml:space="preserve"> Ιουλίου 2016.</w:t>
      </w:r>
    </w:p>
    <w:p>
      <w:pPr>
        <w:spacing w:before="240" w:after="240"/>
        <w:rPr>
          <w:lang w:val="el" w:eastAsia="el"/>
        </w:rPr>
      </w:pPr>
      <w:r>
        <w:rPr>
          <w:lang w:val="el" w:eastAsia="el"/>
        </w:rPr>
        <w:t>ΑΔΑ: 795ΝΗ-Δ37</w:t>
      </w:r>
    </w:p>
    <w:p>
      <w:pPr>
        <w:spacing w:before="240" w:after="240"/>
        <w:rPr>
          <w:lang w:val="el" w:eastAsia="el"/>
        </w:rPr>
      </w:pPr>
      <w:r>
        <w:rPr>
          <w:lang w:val="el" w:eastAsia="el"/>
        </w:rPr>
        <w:t>Για την ομοιόμορφη εφαρμογή των ανωτέρω και την καλύτερη κατανόηση αυτών παρατίθενται τα ακόλουθα παραδείγματα:</w:t>
      </w:r>
    </w:p>
    <w:p>
      <w:pPr>
        <w:pStyle w:val="StructureList1"/>
        <w:spacing w:before="120" w:after="0"/>
        <w:rPr>
          <w:lang w:val="el" w:eastAsia="el"/>
        </w:rPr>
      </w:pPr>
      <w:r>
        <w:rPr>
          <w:lang w:val="el" w:eastAsia="el"/>
        </w:rPr>
        <w:t>α)</w:t>
      </w:r>
      <w:r>
        <w:rPr>
          <w:lang w:val="en" w:eastAsia="en"/>
        </w:rPr>
        <w:tab/>
      </w:r>
      <w:r>
        <w:rPr>
          <w:lang w:val="el" w:eastAsia="el"/>
        </w:rPr>
        <w:t>Έστω ότι στο πλαίσιο ελέγχου που πραγματοποιήθηκε την 28.7.2016 σε φορολογούμενο που υποχρεούται στη τήρηση απλογραφικού λογιστικού συστήματος, διαπιστώθηκε η μη έκδοση ενός φορολογικού στοιχείου αξίας 3.000,00 ευρώ από το οποίο θα προέκυπτε ΦΠΑ ύψους 720,00 ευρώ, επιβάλλεται πρόστιμο 360,00 ευρώ (720,00 * 50%).</w:t>
      </w:r>
    </w:p>
    <w:p>
      <w:pPr>
        <w:pStyle w:val="StructureList1"/>
        <w:spacing w:before="120" w:after="0"/>
        <w:rPr>
          <w:lang w:val="el" w:eastAsia="el"/>
        </w:rPr>
      </w:pPr>
      <w:r>
        <w:rPr>
          <w:lang w:val="el" w:eastAsia="el"/>
        </w:rPr>
        <w:t>β)</w:t>
      </w:r>
      <w:r>
        <w:rPr>
          <w:lang w:val="en" w:eastAsia="en"/>
        </w:rPr>
        <w:tab/>
      </w:r>
      <w:r>
        <w:rPr>
          <w:lang w:val="el" w:eastAsia="el"/>
        </w:rPr>
        <w:t>Έστω ότι στο πλαίσιο ελέγχου που πραγματοποιήθηκε την 25.8.2016 σε φορολογούμενο που υποχρεούται στην τήρηση απλογραφικού λογιστικού συστήματος, διαπιστώθηκε η μη έκδοση 10 φορολογικών στοιχείων αξίας 500,00 ευρώ από τα οποία θα προέκυπτε ΦΠΑ ύψους 65,00 ευρώ, επιβάλλεται πρόστιμο 250,00 ευρώ (65,00 * 50%= 32,50 &lt; 250,00, άρα επιβάλλεται το ελάχιστο προβλεπόμενο πρόστιμο βάσει του τηρούμενου λογιστικού συστήματος.</w:t>
      </w:r>
    </w:p>
    <w:p>
      <w:pPr>
        <w:spacing w:before="240" w:after="240"/>
        <w:rPr>
          <w:lang w:val="el" w:eastAsia="el"/>
        </w:rPr>
      </w:pPr>
      <w:r>
        <w:rPr>
          <w:lang w:val="el" w:eastAsia="el"/>
        </w:rPr>
        <w:t>Έστω ότι στον ίδιο ως άνω φορολογούμενο διαπιστώνεται στο πλαίσιο ελέγχου την 10.10.2016 η μη έκδοση 5 φορολογικών στοιχείων αξίας 200,00 ευρώ από τα οποία θα προέκυπτε ΦΠΑ 26,00 ευρώ. Επειδή υπέπεσε στη ίδια παράβαση εντός πενταετίας, επιβάλλεται πρόστιμο 500,00 ευρώ (100% * 26,00 = 26,00 &lt; 500,00, άρα επιβάλλεται το ελάχιστο προβλεπόμενο πρόστιμο βάσει του τηρούμενου λογιστικού συστήματος για πρώτη υποτροπή).</w:t>
      </w:r>
    </w:p>
    <w:p>
      <w:pPr>
        <w:spacing w:before="240" w:after="240"/>
        <w:rPr>
          <w:lang w:val="el" w:eastAsia="el"/>
        </w:rPr>
      </w:pPr>
      <w:r>
        <w:rPr>
          <w:lang w:val="el" w:eastAsia="el"/>
        </w:rPr>
        <w:t>Στο πλαίσιο νέου ελέγχου την 7.11.2016 στον ίδιο ως άνω φορολογούμενο διαπιστώνεται η μη έκδοση ενός φορολογικού στοιχείου αξίας 100,00 ευρώ από το οποίο θα προέκυπτε ΦΠΑ 13,00 ευρώ. Λόγω της υποτροπής θα επιβληθεί πρόστιμο 1.000,00 ευρώ (13,00 * 200% πρόστιμο = 26,00 &lt; 1.000,00, άρα επιβάλλεται το ελάχιστο προβλεπόμενο πρόστιμο βάσει του τηρούμενου λογιστικού συστήματος για επόμενη υποτροπή).</w:t>
      </w:r>
    </w:p>
    <w:p>
      <w:pPr>
        <w:pStyle w:val="StructureList1"/>
        <w:spacing w:before="120" w:after="0"/>
        <w:rPr>
          <w:lang w:val="el" w:eastAsia="el"/>
        </w:rPr>
      </w:pPr>
      <w:r>
        <w:rPr>
          <w:lang w:val="el" w:eastAsia="el"/>
        </w:rPr>
        <w:t>γ)</w:t>
      </w:r>
      <w:r>
        <w:rPr>
          <w:lang w:val="en" w:eastAsia="en"/>
        </w:rPr>
        <w:tab/>
      </w:r>
      <w:r>
        <w:rPr>
          <w:lang w:val="el" w:eastAsia="el"/>
        </w:rPr>
        <w:t xml:space="preserve">Έστω σε φορολογούμενο, ο οποίος είναι υπόχρεος σε τήρηση απλογραφικού λογιστικού συστήματος έχει επιβληθεί για τη μη έκδοση στοιχείου αξίας 100,00 ευρώ από το οποίο θα προέκυπτε ΦΠΑ 24,00 ευρώ, πρόστιμο 250,00 ευρώ. Σε μεταγενέστερο έλεγχο διαπιστώνεται ότι έχει υποβληθεί ανακριβής δήλωση ΦΠΑ και η ανακρίβεια προσδιορίζεται στο ποσό των 24,00 ευρώ οφειλόμενη </w:t>
      </w:r>
      <w:r>
        <w:rPr>
          <w:b/>
          <w:bCs/>
          <w:lang w:val="el" w:eastAsia="el"/>
        </w:rPr>
        <w:t xml:space="preserve">μόνο </w:t>
      </w:r>
      <w:r>
        <w:rPr>
          <w:lang w:val="el" w:eastAsia="el"/>
        </w:rPr>
        <w:t>στη μη έκδοση του ανωτέρω στοιχείου. Προκειμένου να μη σωρευθούν τα πρόστιμα των παραγράφων 1 και 2 του άρθρου 58 Α,κατ΄ εφαρμογή της παραγράφου 5 του ίδιου άρθρου, δεν αφαιρείται από το πρόστιμο της παραγράφου 2 (24,00 ευρώ) το ελάχιστο επιβληθέν πρόστιμο της παραγράφου 1 των 250,00 ευρώ, αλλά το αναλογικό πρόστιμο του 50% του ΦΠΑ επί της αξίας των στοιχείων που δεν εκδόθηκαν, δηλαδή τα 24,00 ευρώ, και εντέλει δεν επιβάλλεται ποσό προστίμου για την παράβαση της παραγράφου 2.</w:t>
      </w:r>
    </w:p>
    <w:p>
      <w:pPr>
        <w:pStyle w:val="StructureList1"/>
        <w:spacing w:before="120" w:after="0"/>
        <w:rPr>
          <w:lang w:val="el" w:eastAsia="el"/>
        </w:rPr>
      </w:pPr>
      <w:r>
        <w:rPr>
          <w:lang w:val="el" w:eastAsia="el"/>
        </w:rPr>
        <w:t>δ)</w:t>
      </w:r>
      <w:r>
        <w:rPr>
          <w:lang w:val="en" w:eastAsia="en"/>
        </w:rPr>
        <w:tab/>
      </w:r>
      <w:r>
        <w:rPr>
          <w:lang w:val="el" w:eastAsia="el"/>
        </w:rPr>
        <w:t xml:space="preserve">Έστω σε επιχείρηση με υποχρέωση τήρησης διπλογραφικού λογιστικού συστήματος έχει επιβληθεί πρόστιμο 500,00 ευρώ για την μη έκδοση ενός φορολογικού στοιχείου από το οποίο θα προέκυπτε ΦΠΑ 100 ευρώ. Επιβλήθηκε πρόστιμο 500 ευρώ, ως ελάχιστο πρόστιμο, δεδομένου ότι στην περίπτωση αυτή το 50% του φόρου ισούται με 50 ευρώ. Σε μεταγενέστερο έλεγχο διαπιστώνεται υποβολή ανακριβούς δήλωσης ΦΠΑ ποσού 250 ευρώ (παράβαση παραγράφου 2 του άρθρου 58Α) και διαπιστώνεται ότι </w:t>
      </w:r>
      <w:r>
        <w:rPr>
          <w:b/>
          <w:bCs/>
          <w:lang w:val="el" w:eastAsia="el"/>
        </w:rPr>
        <w:t xml:space="preserve">μέρος της ανακρίβειας </w:t>
      </w:r>
      <w:r>
        <w:rPr>
          <w:lang w:val="el" w:eastAsia="el"/>
        </w:rPr>
        <w:t>της δήλωσης οφείλεται στην προαναφερθείσα παράβαση της μη έκδοσης του φορολογικού στοιχείου.</w:t>
      </w:r>
    </w:p>
    <w:p>
      <w:pPr>
        <w:spacing w:before="240" w:after="240"/>
        <w:rPr>
          <w:lang w:val="el" w:eastAsia="el"/>
        </w:rPr>
      </w:pPr>
      <w:r>
        <w:rPr>
          <w:lang w:val="el" w:eastAsia="el"/>
        </w:rPr>
        <w:t>Προκειμένου να μη σωρευθούν τα πρόστιμα των παραγράφων 1 και 2 του άρθρου 58 Α, αφαιρείται το πρόστιμο της παραγράφου 1 ως εξής.</w:t>
      </w:r>
    </w:p>
    <w:p>
      <w:pPr>
        <w:spacing w:before="240" w:after="240"/>
        <w:rPr>
          <w:lang w:val="el" w:eastAsia="el"/>
        </w:rPr>
      </w:pPr>
      <w:r>
        <w:rPr>
          <w:lang w:val="el" w:eastAsia="el"/>
        </w:rPr>
        <w:t>Ανακρίβεια δήλωσης 250 ευρώ</w:t>
      </w:r>
    </w:p>
    <w:p>
      <w:pPr>
        <w:spacing w:before="240" w:after="240"/>
        <w:rPr>
          <w:lang w:val="el" w:eastAsia="el"/>
        </w:rPr>
      </w:pPr>
      <w:r>
        <w:rPr>
          <w:lang w:val="el" w:eastAsia="el"/>
        </w:rPr>
        <w:t>Πρόστιμο παρ. 2 (=250 ευρώ * 50%) 125,00 ευρώ</w:t>
      </w:r>
    </w:p>
    <w:p>
      <w:pPr>
        <w:spacing w:before="240" w:after="240"/>
        <w:rPr>
          <w:lang w:val="el" w:eastAsia="el"/>
        </w:rPr>
      </w:pPr>
      <w:r>
        <w:rPr>
          <w:lang w:val="el" w:eastAsia="el"/>
        </w:rPr>
        <w:t xml:space="preserve">Πρόστιμο παρ.1(=100 ευρώ * 50%) μείον </w:t>
      </w:r>
      <w:r>
        <w:rPr>
          <w:u w:val="single"/>
          <w:lang w:val="el" w:eastAsia="el"/>
        </w:rPr>
        <w:t>50,00 ευρώ</w:t>
      </w:r>
    </w:p>
    <w:p>
      <w:pPr>
        <w:spacing w:before="240" w:after="240"/>
        <w:rPr>
          <w:lang w:val="el" w:eastAsia="el"/>
        </w:rPr>
      </w:pPr>
      <w:r>
        <w:rPr>
          <w:lang w:val="el" w:eastAsia="el"/>
        </w:rPr>
        <w:t>Υπόλοιπο 75,00 ευρώ</w:t>
      </w:r>
    </w:p>
    <w:p>
      <w:pPr>
        <w:spacing w:before="240" w:after="240"/>
        <w:rPr>
          <w:lang w:val="el" w:eastAsia="el"/>
        </w:rPr>
      </w:pPr>
      <w:r>
        <w:rPr>
          <w:lang w:val="el" w:eastAsia="el"/>
        </w:rPr>
        <w:t>Επομένως θα επιβληθεί πρόστιμο για την παράβαση της παραγράφου 2 75,00 ευρώ.</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ΓΡΑΜΜΑΤΕΑΣ</w:t>
      </w:r>
    </w:p>
    <w:p>
      <w:pPr>
        <w:spacing w:before="240" w:after="240"/>
        <w:rPr>
          <w:lang w:val="el" w:eastAsia="el"/>
        </w:rPr>
      </w:pPr>
      <w:r>
        <w:rPr>
          <w:b/>
          <w:bCs/>
          <w:lang w:val="el" w:eastAsia="el"/>
        </w:rPr>
        <w:t>Ο ΠΡΟΪΣΤΑΜΕΝΟΣ ΤΟΥ ΑΥΤΟΤΕΛΟΥΣ ΓΡΑΦΕΙΟΥ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1,4,5 και 6.</w:t>
      </w:r>
    </w:p>
    <w:p>
      <w:pPr>
        <w:spacing w:before="240" w:after="240"/>
        <w:rPr>
          <w:lang w:val="el" w:eastAsia="el"/>
        </w:rPr>
      </w:pPr>
      <w:r>
        <w:rPr>
          <w:lang w:val="el" w:eastAsia="el"/>
        </w:rPr>
        <w:t>2. Αποδέκτες Πίνακα Γ΄ μόνο ο αριθ. 2.</w:t>
      </w:r>
    </w:p>
    <w:p>
      <w:pPr>
        <w:spacing w:before="240" w:after="240"/>
        <w:rPr>
          <w:lang w:val="el" w:eastAsia="el"/>
        </w:rPr>
      </w:pPr>
      <w:r>
        <w:rPr>
          <w:lang w:val="el" w:eastAsia="el"/>
        </w:rPr>
        <w:t>3. Υπηρεσία TAXISnet για ανάρτηση στην ιστοσελίδα της ΓΓΠΣ.</w:t>
      </w:r>
    </w:p>
    <w:p>
      <w:pPr>
        <w:spacing w:before="240" w:after="240"/>
        <w:rPr>
          <w:lang w:val="el" w:eastAsia="el"/>
        </w:rPr>
      </w:pPr>
      <w:r>
        <w:rPr>
          <w:lang w:val="el" w:eastAsia="el"/>
        </w:rPr>
        <w:t>4.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Β΄ μόνο οι αριθ. 7 και 8.</w:t>
      </w:r>
    </w:p>
    <w:p>
      <w:pPr>
        <w:spacing w:before="240" w:after="240"/>
        <w:rPr>
          <w:lang w:val="el" w:eastAsia="el"/>
        </w:rPr>
      </w:pPr>
      <w:r>
        <w:rPr>
          <w:lang w:val="el" w:eastAsia="el"/>
        </w:rPr>
        <w:t>3. Αποδέκτες Πίνακα Γ΄ μόνο οι αριθ. 1 και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2"/>
        <w:gridCol w:w="75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w:t>
            </w:r>
          </w:p>
          <w:p>
            <w:pPr>
              <w:spacing w:before="240" w:after="240"/>
              <w:rPr>
                <w:b w:val="0"/>
                <w:bCs w:val="0"/>
                <w:i w:val="0"/>
                <w:iCs w:val="0"/>
                <w:smallCaps w:val="0"/>
                <w:color w:val="000000"/>
                <w:lang w:val="el" w:eastAsia="el"/>
              </w:rPr>
            </w:pPr>
            <w:r>
              <w:rPr>
                <w:b w:val="0"/>
                <w:bCs w:val="0"/>
                <w:i w:val="0"/>
                <w:iCs w:val="0"/>
                <w:smallCaps w:val="0"/>
                <w:color w:val="000000"/>
                <w:lang w:val="el" w:eastAsia="el"/>
              </w:rPr>
              <w:t>5. »</w:t>
            </w:r>
          </w:p>
          <w:p>
            <w:pPr>
              <w:spacing w:before="240"/>
              <w:rPr>
                <w:b w:val="0"/>
                <w:bCs w:val="0"/>
                <w:i w:val="0"/>
                <w:iCs w:val="0"/>
                <w:smallCaps w:val="0"/>
                <w:color w:val="000000"/>
                <w:lang w:val="el" w:eastAsia="el"/>
              </w:rPr>
            </w:pPr>
            <w:r>
              <w:rPr>
                <w:b w:val="0"/>
                <w:bCs w:val="0"/>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Ζ΄ μόνο οι αριθ. 1, 2,3,4 και 9.</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Θ΄ μόνο ο αριθ.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ΙΑ΄ εκτός έμμισθα υποθηκοφυλακεία και</w:t>
            </w:r>
          </w:p>
          <w:p>
            <w:pPr>
              <w:spacing w:before="240"/>
              <w:rPr>
                <w:b w:val="0"/>
                <w:bCs w:val="0"/>
                <w:i w:val="0"/>
                <w:iCs w:val="0"/>
                <w:smallCaps w:val="0"/>
                <w:color w:val="000000"/>
                <w:lang w:val="el" w:eastAsia="el"/>
              </w:rPr>
            </w:pPr>
            <w:r>
              <w:rPr>
                <w:b w:val="0"/>
                <w:bCs w:val="0"/>
                <w:i w:val="0"/>
                <w:iCs w:val="0"/>
                <w:smallCaps w:val="0"/>
                <w:color w:val="000000"/>
                <w:lang w:val="el" w:eastAsia="el"/>
              </w:rPr>
              <w:t>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w:t>
            </w:r>
          </w:p>
          <w:p>
            <w:pPr>
              <w:spacing w:before="240" w:after="240"/>
              <w:rPr>
                <w:b w:val="0"/>
                <w:bCs w:val="0"/>
                <w:i w:val="0"/>
                <w:iCs w:val="0"/>
                <w:smallCaps w:val="0"/>
                <w:color w:val="000000"/>
                <w:lang w:val="el" w:eastAsia="el"/>
              </w:rPr>
            </w:pPr>
            <w:r>
              <w:rPr>
                <w:b w:val="0"/>
                <w:bCs w:val="0"/>
                <w:i w:val="0"/>
                <w:iCs w:val="0"/>
                <w:smallCaps w:val="0"/>
                <w:color w:val="000000"/>
                <w:lang w:val="el" w:eastAsia="el"/>
              </w:rPr>
              <w:t>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w:t>
            </w:r>
          </w:p>
          <w:p>
            <w:pPr>
              <w:spacing w:before="240" w:after="240"/>
              <w:rPr>
                <w:b w:val="0"/>
                <w:bCs w:val="0"/>
                <w:i w:val="0"/>
                <w:iCs w:val="0"/>
                <w:smallCaps w:val="0"/>
                <w:color w:val="000000"/>
                <w:lang w:val="el" w:eastAsia="el"/>
              </w:rPr>
            </w:pPr>
            <w:r>
              <w:rPr>
                <w:b w:val="0"/>
                <w:bCs w:val="0"/>
                <w:i w:val="0"/>
                <w:iCs w:val="0"/>
                <w:smallCaps w:val="0"/>
                <w:color w:val="000000"/>
                <w:lang w:val="el" w:eastAsia="el"/>
              </w:rPr>
              <w:t>12.</w:t>
            </w:r>
          </w:p>
          <w:p>
            <w:pPr>
              <w:spacing w:before="240" w:after="240"/>
              <w:rPr>
                <w:b w:val="0"/>
                <w:bCs w:val="0"/>
                <w:i w:val="0"/>
                <w:iCs w:val="0"/>
                <w:smallCaps w:val="0"/>
                <w:color w:val="000000"/>
                <w:lang w:val="el" w:eastAsia="el"/>
              </w:rPr>
            </w:pPr>
            <w:r>
              <w:rPr>
                <w:b w:val="0"/>
                <w:bCs w:val="0"/>
                <w:i w:val="0"/>
                <w:iCs w:val="0"/>
                <w:smallCaps w:val="0"/>
                <w:color w:val="000000"/>
                <w:lang w:val="el" w:eastAsia="el"/>
              </w:rPr>
              <w:t>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14.</w:t>
            </w:r>
          </w:p>
          <w:p>
            <w:pPr>
              <w:spacing w:before="240"/>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ΙΓ΄.</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ΙΘ΄ εκτός των αριθ. 9,10,11,13,16,19,20, 21, 22, 23,24,</w:t>
            </w:r>
          </w:p>
          <w:p>
            <w:pPr>
              <w:spacing w:before="240"/>
              <w:rPr>
                <w:b w:val="0"/>
                <w:bCs w:val="0"/>
                <w:i w:val="0"/>
                <w:iCs w:val="0"/>
                <w:smallCaps w:val="0"/>
                <w:color w:val="000000"/>
                <w:lang w:val="el" w:eastAsia="el"/>
              </w:rPr>
            </w:pPr>
            <w:r>
              <w:rPr>
                <w:b w:val="0"/>
                <w:bCs w:val="0"/>
                <w:i w:val="0"/>
                <w:iCs w:val="0"/>
                <w:smallCaps w:val="0"/>
                <w:color w:val="000000"/>
                <w:lang w:val="el" w:eastAsia="el"/>
              </w:rPr>
              <w:t>25,26, 28, 29, 31, 32,33, 34,37,38,39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17. »</w:t>
            </w:r>
          </w:p>
          <w:p>
            <w:pPr>
              <w:spacing w:before="240" w:after="240"/>
              <w:rPr>
                <w:b w:val="0"/>
                <w:bCs w:val="0"/>
                <w:i w:val="0"/>
                <w:iCs w:val="0"/>
                <w:smallCaps w:val="0"/>
                <w:color w:val="000000"/>
                <w:lang w:val="el" w:eastAsia="el"/>
              </w:rPr>
            </w:pPr>
            <w:r>
              <w:rPr>
                <w:b w:val="0"/>
                <w:bCs w:val="0"/>
                <w:i w:val="0"/>
                <w:iCs w:val="0"/>
                <w:smallCaps w:val="0"/>
                <w:color w:val="000000"/>
                <w:lang w:val="el" w:eastAsia="el"/>
              </w:rPr>
              <w:t>18.</w:t>
            </w:r>
          </w:p>
          <w:p>
            <w:pPr>
              <w:spacing w:before="240"/>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ΚΒ΄.</w:t>
            </w:r>
          </w:p>
          <w:p>
            <w:pPr>
              <w:spacing w:before="240"/>
              <w:rPr>
                <w:b w:val="0"/>
                <w:bCs w:val="0"/>
                <w:i w:val="0"/>
                <w:iCs w:val="0"/>
                <w:smallCaps w:val="0"/>
                <w:color w:val="000000"/>
                <w:lang w:val="el" w:eastAsia="el"/>
              </w:rPr>
            </w:pPr>
            <w:r>
              <w:rPr>
                <w:b w:val="0"/>
                <w:bCs w:val="0"/>
                <w:i w:val="0"/>
                <w:iCs w:val="0"/>
                <w:smallCaps w:val="0"/>
                <w:color w:val="000000"/>
                <w:lang w:val="el" w:eastAsia="el"/>
              </w:rPr>
              <w:t>» » ΚΓ΄.</w:t>
            </w:r>
          </w:p>
        </w:tc>
      </w:tr>
    </w:tbl>
    <w:p>
      <w:pPr>
        <w:spacing w:before="240" w:after="240"/>
        <w:rPr>
          <w:lang w:val="el" w:eastAsia="el"/>
        </w:rPr>
      </w:pPr>
      <w:r>
        <w:rPr>
          <w:lang w:val="el" w:eastAsia="el"/>
        </w:rPr>
        <w:t>20. Εμπορικοί Σύλλογοι Πειραιά και Θεσσαλονίκης.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Δ/νση Νομικής Υποστήριξης της Γ.Γ.Δ.Ε.</w:t>
      </w:r>
    </w:p>
    <w:p>
      <w:pPr>
        <w:spacing w:before="240" w:after="240"/>
        <w:rPr>
          <w:lang w:val="el" w:eastAsia="el"/>
        </w:rPr>
      </w:pPr>
      <w:r>
        <w:rPr>
          <w:lang w:val="el" w:eastAsia="el"/>
        </w:rPr>
        <w:t>9. Δ.Ε.Ε.Φ - Τμήμα Α΄ ΦΠΑ (10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