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w:t>
      </w:r>
      <w:r>
        <w:rPr>
          <w:b/>
          <w:bCs/>
          <w:lang w:val="el" w:eastAsia="el"/>
        </w:rPr>
        <w:t>/</w:t>
      </w:r>
      <w:r>
        <w:rPr>
          <w:lang w:val="el" w:eastAsia="el"/>
        </w:rPr>
        <w:t>ΝΣΗ ΦΟΡΟΛΟΓΙΚΗΣ ΔΙΟΙΚΗΣΗΣ</w:t>
      </w:r>
    </w:p>
    <w:p>
      <w:pPr>
        <w:pStyle w:val="PreambelText"/>
        <w:spacing w:before="240" w:after="240"/>
        <w:rPr>
          <w:lang w:val="el" w:eastAsia="el"/>
        </w:rPr>
      </w:pPr>
      <w:r>
        <w:rPr>
          <w:lang w:val="el" w:eastAsia="el"/>
        </w:rPr>
        <w:t>Δ</w:t>
      </w:r>
      <w:r>
        <w:rPr>
          <w:b/>
          <w:bCs/>
          <w:lang w:val="el" w:eastAsia="el"/>
        </w:rPr>
        <w:t>/</w:t>
      </w:r>
      <w:r>
        <w:rPr>
          <w:lang w:val="el" w:eastAsia="el"/>
        </w:rPr>
        <w:t>ΝΣΗ ΕΦΑΡΜΟΓΗΣ ΕΜΜΕΣΗΣ ΦΟΡΟΛΟΓΙΑΣ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b/>
          <w:bCs/>
          <w:lang w:val="el" w:eastAsia="el"/>
        </w:rPr>
        <w:t xml:space="preserve">- </w:t>
      </w:r>
      <w:r>
        <w:rPr>
          <w:b/>
          <w:bCs/>
          <w:lang w:val="el" w:eastAsia="el"/>
        </w:rPr>
        <w:t>ΦΠΑ</w:t>
      </w:r>
    </w:p>
    <w:p>
      <w:pPr>
        <w:spacing w:before="240" w:after="240"/>
        <w:rPr>
          <w:lang w:val="el" w:eastAsia="el"/>
        </w:rPr>
      </w:pPr>
      <w:r>
        <w:rPr>
          <w:b/>
          <w:bCs/>
          <w:lang w:val="el" w:eastAsia="el"/>
        </w:rPr>
        <w:t>ΠΡΟΣ: Ως Πίνακας ∆ιανοµής</w:t>
      </w:r>
    </w:p>
    <w:p>
      <w:pPr>
        <w:spacing w:before="240" w:after="240"/>
        <w:rPr>
          <w:lang w:val="el" w:eastAsia="el"/>
        </w:rPr>
      </w:pPr>
      <w:r>
        <w:rPr>
          <w:b/>
          <w:bCs/>
          <w:lang w:val="el" w:eastAsia="el"/>
        </w:rPr>
        <w:t>Ταχ</w:t>
      </w:r>
      <w:r>
        <w:rPr>
          <w:b/>
          <w:bCs/>
          <w:lang w:val="el" w:eastAsia="el"/>
        </w:rPr>
        <w:t xml:space="preserve">. </w:t>
      </w:r>
      <w:r>
        <w:rPr>
          <w:b/>
          <w:bCs/>
          <w:lang w:val="el" w:eastAsia="el"/>
        </w:rPr>
        <w:t>Δ</w:t>
      </w:r>
      <w:r>
        <w:rPr>
          <w:b/>
          <w:bCs/>
          <w:lang w:val="el" w:eastAsia="el"/>
        </w:rPr>
        <w:t>/</w:t>
      </w:r>
      <w:r>
        <w:rPr>
          <w:b/>
          <w:bCs/>
          <w:lang w:val="el" w:eastAsia="el"/>
        </w:rPr>
        <w:t xml:space="preserve">νση </w:t>
      </w:r>
      <w:r>
        <w:rPr>
          <w:b/>
          <w:bCs/>
          <w:lang w:val="el" w:eastAsia="el"/>
        </w:rPr>
        <w:t>:</w:t>
      </w:r>
      <w:r>
        <w:rPr>
          <w:b/>
          <w:bCs/>
          <w:lang w:val="el" w:eastAsia="el"/>
        </w:rPr>
        <w:t>Σίνα 2-4</w:t>
      </w:r>
    </w:p>
    <w:p>
      <w:pPr>
        <w:spacing w:before="240" w:after="240"/>
        <w:rPr>
          <w:lang w:val="el" w:eastAsia="el"/>
        </w:rPr>
      </w:pPr>
      <w:r>
        <w:rPr>
          <w:b/>
          <w:bCs/>
          <w:lang w:val="el" w:eastAsia="el"/>
        </w:rPr>
        <w:t>Ταχ</w:t>
      </w:r>
      <w:r>
        <w:rPr>
          <w:b/>
          <w:bCs/>
          <w:lang w:val="el" w:eastAsia="el"/>
        </w:rPr>
        <w:t xml:space="preserve">. </w:t>
      </w:r>
      <w:r>
        <w:rPr>
          <w:b/>
          <w:bCs/>
          <w:lang w:val="el" w:eastAsia="el"/>
        </w:rPr>
        <w:t xml:space="preserve">Κώδικας </w:t>
      </w:r>
      <w:r>
        <w:rPr>
          <w:b/>
          <w:bCs/>
          <w:lang w:val="el" w:eastAsia="el"/>
        </w:rPr>
        <w:t>:</w:t>
      </w:r>
      <w:r>
        <w:rPr>
          <w:b/>
          <w:bCs/>
          <w:lang w:val="el" w:eastAsia="el"/>
        </w:rPr>
        <w:t>106 72 ΑΘΗΝΑ</w:t>
      </w:r>
    </w:p>
    <w:p>
      <w:pPr>
        <w:spacing w:before="240" w:after="240"/>
        <w:rPr>
          <w:lang w:val="el" w:eastAsia="el"/>
        </w:rPr>
      </w:pPr>
      <w:r>
        <w:rPr>
          <w:b/>
          <w:bCs/>
          <w:lang w:val="el" w:eastAsia="el"/>
        </w:rPr>
        <w:t xml:space="preserve">Πληροφορίες </w:t>
      </w:r>
      <w:r>
        <w:rPr>
          <w:b/>
          <w:bCs/>
          <w:lang w:val="el" w:eastAsia="el"/>
        </w:rPr>
        <w:t xml:space="preserve">: </w:t>
      </w:r>
      <w:r>
        <w:rPr>
          <w:b/>
          <w:bCs/>
          <w:lang w:val="el" w:eastAsia="el"/>
        </w:rPr>
        <w:t>Ε. Ορφανάκη – Μ. Ξερνού</w:t>
      </w:r>
    </w:p>
    <w:p>
      <w:pPr>
        <w:spacing w:before="240" w:after="240"/>
        <w:rPr>
          <w:lang w:val="el" w:eastAsia="el"/>
        </w:rPr>
      </w:pPr>
      <w:r>
        <w:rPr>
          <w:b/>
          <w:bCs/>
          <w:lang w:val="el" w:eastAsia="el"/>
        </w:rPr>
        <w:t>:210 -3645848</w:t>
      </w:r>
    </w:p>
    <w:p>
      <w:pPr>
        <w:spacing w:before="240" w:after="240"/>
        <w:rPr>
          <w:lang w:val="el" w:eastAsia="el"/>
        </w:rPr>
      </w:pPr>
      <w:r>
        <w:rPr>
          <w:b/>
          <w:bCs/>
          <w:lang w:val="el" w:eastAsia="el"/>
        </w:rPr>
        <w:t>:210-3645413</w:t>
      </w:r>
    </w:p>
    <w:p>
      <w:pPr>
        <w:spacing w:before="240" w:after="240"/>
        <w:rPr>
          <w:lang w:val="el" w:eastAsia="el"/>
        </w:rPr>
      </w:pPr>
      <w:r>
        <w:rPr>
          <w:b/>
          <w:bCs/>
          <w:lang w:val="el" w:eastAsia="el"/>
        </w:rPr>
        <w:t xml:space="preserve">e-mail </w:t>
      </w:r>
      <w:r>
        <w:rPr>
          <w:b/>
          <w:bCs/>
          <w:lang w:val="el" w:eastAsia="el"/>
        </w:rPr>
        <w:t>:</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Θέµα</w:t>
      </w:r>
      <w:r>
        <w:rPr>
          <w:b/>
          <w:bCs/>
          <w:lang w:val="el" w:eastAsia="el"/>
        </w:rPr>
        <w:t xml:space="preserve">: </w:t>
      </w:r>
      <w:r>
        <w:rPr>
          <w:b/>
          <w:bCs/>
          <w:lang w:val="el" w:eastAsia="el"/>
        </w:rPr>
        <w:t xml:space="preserve">Διευκρινίσεις αναφορικά µε την επιβολή προστίµων για παραβάσεις ΦΠΑ του άρθρου </w:t>
      </w:r>
      <w:r>
        <w:rPr>
          <w:b/>
          <w:bCs/>
          <w:lang w:val="el" w:eastAsia="el"/>
        </w:rPr>
        <w:t>58</w:t>
      </w:r>
      <w:r>
        <w:rPr>
          <w:b/>
          <w:bCs/>
          <w:lang w:val="el" w:eastAsia="el"/>
        </w:rPr>
        <w:t>Α του ν</w:t>
      </w:r>
      <w:r>
        <w:rPr>
          <w:b/>
          <w:bCs/>
          <w:lang w:val="el" w:eastAsia="el"/>
        </w:rPr>
        <w:t>. 4174/2013 (</w:t>
      </w:r>
      <w:r>
        <w:rPr>
          <w:b/>
          <w:bCs/>
          <w:lang w:val="el" w:eastAsia="el"/>
        </w:rPr>
        <w:t xml:space="preserve">Α΄ </w:t>
      </w:r>
      <w:r>
        <w:rPr>
          <w:b/>
          <w:bCs/>
          <w:lang w:val="el" w:eastAsia="el"/>
        </w:rPr>
        <w:t xml:space="preserve">170), </w:t>
      </w:r>
      <w:r>
        <w:rPr>
          <w:b/>
          <w:bCs/>
          <w:lang w:val="el" w:eastAsia="el"/>
        </w:rPr>
        <w:t>όπως τροποποιήθηκε µε το ν</w:t>
      </w:r>
      <w:r>
        <w:rPr>
          <w:b/>
          <w:bCs/>
          <w:lang w:val="el" w:eastAsia="el"/>
        </w:rPr>
        <w:t>. 4410/2016 (</w:t>
      </w:r>
      <w:r>
        <w:rPr>
          <w:b/>
          <w:bCs/>
          <w:lang w:val="el" w:eastAsia="el"/>
        </w:rPr>
        <w:t xml:space="preserve">Α΄ </w:t>
      </w:r>
      <w:r>
        <w:rPr>
          <w:b/>
          <w:bCs/>
          <w:lang w:val="el" w:eastAsia="el"/>
        </w:rPr>
        <w:t xml:space="preserve">141) </w:t>
      </w:r>
      <w:r>
        <w:rPr>
          <w:b/>
          <w:bCs/>
          <w:lang w:val="el" w:eastAsia="el"/>
        </w:rPr>
        <w:t>και ισχύει</w:t>
      </w:r>
      <w:r>
        <w:rPr>
          <w:b/>
          <w:bCs/>
          <w:lang w:val="el" w:eastAsia="el"/>
        </w:rPr>
        <w:t>.</w:t>
      </w:r>
    </w:p>
    <w:p>
      <w:pPr>
        <w:spacing w:before="240" w:after="240"/>
        <w:rPr>
          <w:lang w:val="el" w:eastAsia="el"/>
        </w:rPr>
      </w:pPr>
      <w:r>
        <w:rPr>
          <w:b/>
          <w:bCs/>
          <w:lang w:val="el" w:eastAsia="el"/>
        </w:rPr>
        <w:t>Κατόπιν υποβολής προφορικών και γραπτών ερωτηµάτων στην Υπηρεσία µας σχετικά µε την εφαρµογή των διατάξεων του άρθρου 58Α του Κώδικα Φορολογικής ∆ιαδικασίας, όπως ισχύει, και προκειµένου να διασφαλιστεί η οµοιόµορφη εφαρµογή και η οµαλή διενέργεια των φορολογικών ελέγχων από τη Φορολογική ∆ιοίκηση, διευκρινίζονται τα παρακάτω για την επιβολή των σχετικών µε τον Φόρο Προστιθέµενης Αξίας προστίµων:</w:t>
      </w:r>
    </w:p>
    <w:p>
      <w:pPr>
        <w:spacing w:before="240" w:after="240"/>
        <w:rPr>
          <w:lang w:val="el" w:eastAsia="el"/>
        </w:rPr>
      </w:pPr>
      <w:r>
        <w:rPr>
          <w:b/>
          <w:bCs/>
          <w:lang w:val="el" w:eastAsia="el"/>
        </w:rPr>
        <w:t xml:space="preserve">Χρόνος έναρξης εφαρµογής των διατάξεων επιβολής προστίµου της παραγράφου </w:t>
      </w:r>
      <w:r>
        <w:rPr>
          <w:b/>
          <w:bCs/>
          <w:lang w:val="el" w:eastAsia="el"/>
        </w:rPr>
        <w:t xml:space="preserve">1 </w:t>
      </w:r>
      <w:r>
        <w:rPr>
          <w:b/>
          <w:bCs/>
          <w:lang w:val="el" w:eastAsia="el"/>
        </w:rPr>
        <w:t xml:space="preserve">του άρθρου </w:t>
      </w:r>
      <w:r>
        <w:rPr>
          <w:b/>
          <w:bCs/>
          <w:lang w:val="el" w:eastAsia="el"/>
        </w:rPr>
        <w:t>58</w:t>
      </w:r>
      <w:r>
        <w:rPr>
          <w:b/>
          <w:bCs/>
          <w:lang w:val="el" w:eastAsia="el"/>
        </w:rPr>
        <w:t xml:space="preserve">Α µετά την τροποποίησή του µε το άρθρο </w:t>
      </w:r>
      <w:r>
        <w:rPr>
          <w:b/>
          <w:bCs/>
          <w:lang w:val="el" w:eastAsia="el"/>
        </w:rPr>
        <w:t xml:space="preserve">51 </w:t>
      </w:r>
      <w:r>
        <w:rPr>
          <w:b/>
          <w:bCs/>
          <w:lang w:val="el" w:eastAsia="el"/>
        </w:rPr>
        <w:t>του ν</w:t>
      </w:r>
      <w:r>
        <w:rPr>
          <w:b/>
          <w:bCs/>
          <w:lang w:val="el" w:eastAsia="el"/>
        </w:rPr>
        <w:t>.4410/16.</w:t>
      </w:r>
    </w:p>
    <w:p>
      <w:pPr>
        <w:spacing w:before="240" w:after="240"/>
        <w:rPr>
          <w:lang w:val="el" w:eastAsia="el"/>
        </w:rPr>
      </w:pPr>
      <w:r>
        <w:rPr>
          <w:b/>
          <w:bCs/>
          <w:lang w:val="el" w:eastAsia="el"/>
        </w:rPr>
        <w:t>Οι διατάξεις του άρθρου 51 του ν. 4410/16, εφαρµόζονται στις περιπτώσεις διάπραξης και διαπίστωσης της παράβασης µη έκδοσης ή έκδοσης ή λήψης ανακριβούς φορολογικού στοιχείου από τον έλεγχο, από την ηµεροµηνία έναρξης ισχύος του νόµου, ήτοι από τις 25.7.2016 και σε καµία περίπτωση δεν εφαρµόζονται σε παραβάσεις που ο χρόνος διάπραξής τους είναι προγενέστερος της ηµεροµηνίας αυτής και διαπιστώνονται σε µεταγενέστερο χρόνο.</w:t>
      </w:r>
    </w:p>
    <w:p>
      <w:pPr>
        <w:spacing w:before="240" w:after="240"/>
        <w:rPr>
          <w:lang w:val="el" w:eastAsia="el"/>
        </w:rPr>
      </w:pPr>
      <w:r>
        <w:rPr>
          <w:b/>
          <w:bCs/>
          <w:lang w:val="el" w:eastAsia="el"/>
        </w:rPr>
        <w:t>Παράδειγµα:</w:t>
      </w:r>
    </w:p>
    <w:p>
      <w:pPr>
        <w:spacing w:before="240" w:after="240"/>
        <w:rPr>
          <w:lang w:val="el" w:eastAsia="el"/>
        </w:rPr>
      </w:pPr>
      <w:r>
        <w:rPr>
          <w:b/>
          <w:bCs/>
          <w:lang w:val="el" w:eastAsia="el"/>
        </w:rPr>
        <w:t>Σε φορολογικό έλεγχο που πραγµατοποιείται στις 2.9.2016 διαπιστώνεται ότι υποκείµενος, που τηρεί απλογραφικό λογιστικό σύστηµα, δεν έχει εκδώσει ως όφειλε στις 20.4.2016 φορολογικό στοιχείο αξίας 100 ευρώ µε πόσο ΦΠΑ 23 ευρώ. Το πρόστιµο επιβάλλεται σύµφωνα µε τις ισχύουσες διατάξεις κατά το χρόνο διάπραξης της παράβασης και είναι 11,5 ευρώ(50%Χ23ευρώ).</w:t>
      </w:r>
    </w:p>
    <w:p>
      <w:pPr>
        <w:spacing w:before="240" w:after="240"/>
        <w:rPr>
          <w:lang w:val="el" w:eastAsia="el"/>
        </w:rPr>
      </w:pPr>
      <w:r>
        <w:rPr>
          <w:b/>
          <w:bCs/>
          <w:lang w:val="el" w:eastAsia="el"/>
        </w:rPr>
        <w:t>Εφαρµογή των διατάξεων της παρ</w:t>
      </w:r>
      <w:r>
        <w:rPr>
          <w:b/>
          <w:bCs/>
          <w:lang w:val="el" w:eastAsia="el"/>
        </w:rPr>
        <w:t xml:space="preserve">.1 </w:t>
      </w:r>
      <w:r>
        <w:rPr>
          <w:b/>
          <w:bCs/>
          <w:lang w:val="el" w:eastAsia="el"/>
        </w:rPr>
        <w:t>του αρ</w:t>
      </w:r>
      <w:r>
        <w:rPr>
          <w:b/>
          <w:bCs/>
          <w:lang w:val="el" w:eastAsia="el"/>
        </w:rPr>
        <w:t>. 58</w:t>
      </w:r>
      <w:r>
        <w:rPr>
          <w:b/>
          <w:bCs/>
          <w:lang w:val="el" w:eastAsia="el"/>
        </w:rPr>
        <w:t xml:space="preserve">Α σχετικά µε την επιβολή προστίµων στις περιπτώσεις διαπίστωσης σε νέο έλεγχο διάπραξης εκ νέου της ίδιας παράβασης </w:t>
      </w:r>
      <w:r>
        <w:rPr>
          <w:b/>
          <w:bCs/>
          <w:lang w:val="el" w:eastAsia="el"/>
        </w:rPr>
        <w:t>(</w:t>
      </w:r>
      <w:r>
        <w:rPr>
          <w:b/>
          <w:bCs/>
          <w:lang w:val="el" w:eastAsia="el"/>
        </w:rPr>
        <w:t>υποτροπή</w:t>
      </w:r>
      <w:r>
        <w:rPr>
          <w:b/>
          <w:bCs/>
          <w:lang w:val="el" w:eastAsia="el"/>
        </w:rPr>
        <w:t>)</w:t>
      </w:r>
    </w:p>
    <w:p>
      <w:pPr>
        <w:spacing w:before="240" w:after="240"/>
        <w:rPr>
          <w:lang w:val="el" w:eastAsia="el"/>
        </w:rPr>
      </w:pPr>
      <w:r>
        <w:rPr>
          <w:b/>
          <w:bCs/>
          <w:lang w:val="el" w:eastAsia="el"/>
        </w:rPr>
        <w:t>∆εν συντρέχει περίπτωση εφαρµογής των δύο τελευταίων εδαφίων της παρ. 1 του άρθρου 58 Α ΚΦ∆, όπως τροποποιήθηκε µε το άρθρο 51 του ν. 4410/2016, ήτοι διάπραξη της ίδιας παράβασης (υποτροπή) στην περίπτωση που έλεγχος που πραγµατοποιείται σε υποκείµενο µετά την έναρξη ισχύος των διατάξεων του ν. 4410/16, (µετά τις 25.7.2016) διαπιστώσει την διάπραξη παράβασης µη έκδοσης φορολογικού στοιχείου ή έκδοσης ή λήψης ανακριβούς στοιχειού για πράξη που επιβαρύνεται µε ΦΠΑ, όταν στον ίδιο υποκείµενο σε προγενέστερο έλεγχο (πριν την 25.7.2016) είχε διαπιστωθεί η διάπραξη παράβασης µη έκδοσης ή έκδοσης ή λήψης ανακριβούς φορολογικού στοιχείου. Με άλλα λόγια ως πρώτη παράβαση για την εφαρµογή των δύο τελευταίων εδαφίων της παρ. 1 λαµβάνεται η διαπραχθείσα µετά τις 25.7.2016.</w:t>
      </w:r>
    </w:p>
    <w:p>
      <w:pPr>
        <w:spacing w:before="240" w:after="240"/>
        <w:rPr>
          <w:lang w:val="el" w:eastAsia="el"/>
        </w:rPr>
      </w:pPr>
      <w:r>
        <w:rPr>
          <w:b/>
          <w:bCs/>
          <w:lang w:val="el" w:eastAsia="el"/>
        </w:rPr>
        <w:t>Επισηµαίνεται ότι, στην περίπτωση αυτή το πρόστιµο που επιβάλλεται είναι ίσο µε το 50% επί του φόρου που θα προέκυπτε από το µη εκδοθέν στοιχείο, ή επί της διαφοράς αντίστοιχα στην περίπτωση ανακριβούς στοιχείου, το οποίο πρόστιµο δεν µπορεί να είναι κατώτερο, αθροιστικά ανά φορολογικό έλεγχο, των διακοσίων πενήντα (250) ευρώ σε περίπτωση που ο φορολογούµενος είναι υπόχρεος τήρησης απλογραφικού λογιστικού συστήµατος και των πεντακοσίων (500) ευρώ σε περίπτωση που ο φορολογούµενος είναι υπόχρεος τήρησης διπλογραφικού λογιστικού συστήµατος και σε καµία περίπτωση δεν επιβάλλεται πρόστιµο το 100% του φόρου ή 500 ευρώ ή 1000 ευρώ κατά περίπτωση.</w:t>
      </w:r>
    </w:p>
    <w:p>
      <w:pPr>
        <w:spacing w:before="240" w:after="240"/>
        <w:rPr>
          <w:lang w:val="el" w:eastAsia="el"/>
        </w:rPr>
      </w:pPr>
      <w:r>
        <w:rPr>
          <w:b/>
          <w:bCs/>
          <w:lang w:val="el" w:eastAsia="el"/>
        </w:rPr>
        <w:t>Για την καλύτερη κατανόηση των ανωτέρω παρατίθενται τα κάτωθι παραδείγµατα:</w:t>
      </w:r>
    </w:p>
    <w:p>
      <w:pPr>
        <w:spacing w:before="240" w:after="240"/>
        <w:rPr>
          <w:lang w:val="el" w:eastAsia="el"/>
        </w:rPr>
      </w:pPr>
      <w:r>
        <w:rPr>
          <w:b/>
          <w:bCs/>
          <w:lang w:val="el" w:eastAsia="el"/>
        </w:rPr>
        <w:t>1. Έλεγχος που πραγµατοποιείται στις 15.9.2016 σε υποκείµενο που τηρεί απλογραφικό λογιστικό σύστηµα διαπιστώνει τη µη έκδοση φορολογικού στοιχείου αξίας ΦΠΑ 200 ευρώ. Στον ίδιο υποκείµενο στις 26.7.2016 από άλλο έλεγχο είχε επιβληθεί πρόστιµο 250 ευρώ για έκδοση ανακριβούς φορολογικού στοιχείου (ίδια παράβαση). Στην περίπτωση αυτή θα επιβληθεί πρόστιµο 500 ευρώ λόγω επανάληψης εντός πενταετίας της ίδιας παράβασης που διαπιστώθηκε από διαφορετικούς φορολογικούς ελέγχους και δεδοµένου ότι το 100% της αξίας του φόρου που προκύπτει είναι κατώτερο του ελάχιστα οριζόµενου ποσού προστίµου σε υποκείµενο µε απλογραφικό σύστηµα : 100% Χ 200=200&lt;500 ευρώ.</w:t>
      </w:r>
    </w:p>
    <w:p>
      <w:pPr>
        <w:spacing w:before="240" w:after="240"/>
        <w:rPr>
          <w:lang w:val="el" w:eastAsia="el"/>
        </w:rPr>
      </w:pPr>
      <w:r>
        <w:rPr>
          <w:b/>
          <w:bCs/>
          <w:lang w:val="el" w:eastAsia="el"/>
        </w:rPr>
        <w:t>2. Έλεγχος που πραγµατοποιείται στις 5.8.2016 σε υποκείµενο που τηρεί απλογραφικό λογιστικό σύστηµα διαπιστώνει τη µη έκδοση στοιχείου αξίας ΦΠΑ 200 ευρώ. Στη συνέχεια κατά την έκδοση της πράξης επιβολής προστίµου διαπιστώνεται ότι προγενέστερος έλεγχος που είχε πραγµατοποιηθεί στις 30.12.2014 στον ίδιο υποκείµενο είχε επιβάλει, λόγω µη έκδοσης φορολογικού στοιχείου, πρόστιµο 250 ευρώ σύµφωνα µε τις τότε ισχύουσες διατάξεις της περ.γ΄ της παρ. 2 του αρ.54 του ΚΦ∆ (ν.4174/13). Το πρόστιµο που θα επιβληθεί κατόπιν του µεταγενέστερου ελέγχου (στις 5.8.2016) είναι 250 ευρώ δεδοµένου ότι ο υποκείµενος έχει διαπράξει παράβαση µη έκδοσης φορολογικού στοιχείου και το 50% της αξίας του φόρου που προκύπτει είναι κατώτερο του ελάχιστα οριζόµενου ποσού προστίµου: 50% Χ 200=100 &lt; 250 ευρώ. Στην περίπτωση αυτή δεν θεωρείται ότι έχει διαπραχθεί επανάληψη της ίδιας παράβασης βάσει των δύο διαφορετικών ελέγχων.</w:t>
      </w:r>
    </w:p>
    <w:p>
      <w:pPr>
        <w:spacing w:before="240" w:after="240"/>
        <w:rPr>
          <w:lang w:val="el" w:eastAsia="el"/>
        </w:rPr>
      </w:pPr>
      <w:r>
        <w:rPr>
          <w:b/>
          <w:bCs/>
          <w:lang w:val="el" w:eastAsia="el"/>
        </w:rPr>
        <w:t>3. Έλεγχος που πραγµατοποιείται στις 30.8.2016 σε υποκείµενο που τηρεί διπλογραφικό λογιστικό σύστηµα διαπιστώνει παράβαση µη έκδοσης φορολογικού στοιχείου αξίας ΦΠΑ 200 ευρώ. Στη συνέχεια κατά την έκδοση της πράξης επιβολής προστίµου διαπιστώνεται ότι προγενέστερος έλεγχος που πραγµατοποιήθηκε στις 15.6.2016 είχε επιβάλει στον ίδιο υποκείµενο για παράβαση µη έκδοσης φορολογικού στοιχείου αξίας ΦΠΑ 60 ευρώ, πρόστιµο ίσο µε το 50% της αξίας του ΦΠΑ ήτοι 30 ευρώ σύµφωνα µε τις τότε ισχύουσες διατάξεις (ν.4337/15).</w:t>
      </w:r>
    </w:p>
    <w:p>
      <w:pPr>
        <w:spacing w:before="240" w:after="240"/>
        <w:rPr>
          <w:lang w:val="el" w:eastAsia="el"/>
        </w:rPr>
      </w:pPr>
      <w:r>
        <w:rPr>
          <w:b/>
          <w:bCs/>
          <w:lang w:val="el" w:eastAsia="el"/>
        </w:rPr>
        <w:t>Στην περίπτωση αυτή δεν συντρέχει επανάληψη της ίδιας παράβασης καθώς η διάπραξη της πρώτης, έλαβε χώρα πριν την έναρξη ισχύος του ν. 4410/16. Το πρόστιµο που θα επιβληθεί κατόπιν του µεταγενέστερου ελέγχου (στις 30.8.2016) είναι 500 ευρώ, διότι το 50% του φόρου που προκύπτει είναι κατώτερο του ελάχιστα οριζόµενου ορίου σε υποκείµενο µε διπλογραφικό σύστηµα : 50%X200= 100&lt; 500 ευρώ.</w:t>
      </w:r>
    </w:p>
    <w:p>
      <w:pPr>
        <w:spacing w:before="240" w:after="240"/>
        <w:rPr>
          <w:lang w:val="el" w:eastAsia="el"/>
        </w:rPr>
      </w:pPr>
      <w:r>
        <w:rPr>
          <w:b/>
          <w:bCs/>
          <w:lang w:val="el" w:eastAsia="el"/>
        </w:rPr>
        <w:t xml:space="preserve">O </w:t>
      </w:r>
      <w:r>
        <w:rPr>
          <w:b/>
          <w:bCs/>
          <w:lang w:val="el" w:eastAsia="el"/>
        </w:rPr>
        <w:t>ΓΕΝ</w:t>
      </w:r>
      <w:r>
        <w:rPr>
          <w:b/>
          <w:bCs/>
          <w:lang w:val="el" w:eastAsia="el"/>
        </w:rPr>
        <w:t xml:space="preserve">. </w:t>
      </w:r>
    </w:p>
    <w:p>
      <w:pPr>
        <w:spacing w:before="240" w:after="240"/>
        <w:rPr>
          <w:lang w:val="el" w:eastAsia="el"/>
        </w:rPr>
      </w:pPr>
      <w:r>
        <w:rPr>
          <w:b/>
          <w:bCs/>
          <w:lang w:val="el" w:eastAsia="el"/>
        </w:rPr>
        <w:t>ΓΡΑΜΜΑΤΕΑΣΔΗΜΟΣΙΩΝ ΕΣΟΔΩΝ</w:t>
      </w:r>
    </w:p>
    <w:p>
      <w:pPr>
        <w:spacing w:before="240" w:after="240"/>
        <w:rPr>
          <w:lang w:val="el" w:eastAsia="el"/>
        </w:rPr>
      </w:pPr>
      <w:r>
        <w:rPr>
          <w:b/>
          <w:bCs/>
          <w:lang w:val="el" w:eastAsia="el"/>
        </w:rPr>
        <w:t>Γ</w:t>
      </w:r>
      <w:r>
        <w:rPr>
          <w:b/>
          <w:bCs/>
          <w:lang w:val="el" w:eastAsia="el"/>
        </w:rPr>
        <w:t xml:space="preserve">. </w:t>
      </w:r>
      <w:r>
        <w:rPr>
          <w:b/>
          <w:bCs/>
          <w:lang w:val="el" w:eastAsia="el"/>
        </w:rPr>
        <w:t>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w:t>
      </w:r>
      <w:r>
        <w:rPr>
          <w:b/>
          <w:bCs/>
          <w:lang w:val="el" w:eastAsia="el"/>
        </w:rPr>
        <w:t xml:space="preserve">. </w:t>
      </w:r>
      <w:r>
        <w:rPr>
          <w:b/>
          <w:bCs/>
          <w:lang w:val="el" w:eastAsia="el"/>
        </w:rPr>
        <w:t>ΑΠΟΔΕΚΤΕΣ ΓΙΑ ΕΝΕΡΓΕΙΑ</w:t>
      </w:r>
    </w:p>
    <w:p>
      <w:pPr>
        <w:spacing w:before="240" w:after="240"/>
        <w:rPr>
          <w:lang w:val="el" w:eastAsia="el"/>
        </w:rPr>
      </w:pPr>
      <w:r>
        <w:rPr>
          <w:b/>
          <w:bCs/>
          <w:lang w:val="el" w:eastAsia="el"/>
        </w:rPr>
        <w:t>1. Αποδέκτες Πίνακα Β΄ αρ.5</w:t>
      </w:r>
    </w:p>
    <w:p>
      <w:pPr>
        <w:spacing w:before="240" w:after="240"/>
        <w:rPr>
          <w:lang w:val="el" w:eastAsia="el"/>
        </w:rPr>
      </w:pPr>
      <w:r>
        <w:rPr>
          <w:b/>
          <w:bCs/>
          <w:lang w:val="el" w:eastAsia="el"/>
        </w:rPr>
        <w:t>2. Αποδέκτες Πίνακα Γ΄</w:t>
      </w:r>
    </w:p>
    <w:p>
      <w:pPr>
        <w:spacing w:before="240" w:after="240"/>
        <w:rPr>
          <w:lang w:val="el" w:eastAsia="el"/>
        </w:rPr>
      </w:pPr>
      <w:r>
        <w:rPr>
          <w:b/>
          <w:bCs/>
          <w:lang w:val="el" w:eastAsia="el"/>
        </w:rPr>
        <w:t>3. ∆/νση Υποστήριξης Ηλεκτρονικών Υπηρεσιών για ανάρτηση στην ιστοσελίδα της ΓΓ∆Ε.</w:t>
      </w:r>
    </w:p>
    <w:p>
      <w:pPr>
        <w:spacing w:before="240" w:after="240"/>
        <w:rPr>
          <w:lang w:val="el" w:eastAsia="el"/>
        </w:rPr>
      </w:pPr>
      <w:r>
        <w:rPr>
          <w:b/>
          <w:bCs/>
          <w:lang w:val="el" w:eastAsia="el"/>
        </w:rPr>
        <w:t>ΙΙ</w:t>
      </w:r>
      <w:r>
        <w:rPr>
          <w:b/>
          <w:bCs/>
          <w:lang w:val="el" w:eastAsia="el"/>
        </w:rPr>
        <w:t xml:space="preserve">. </w:t>
      </w:r>
      <w:r>
        <w:rPr>
          <w:b/>
          <w:bCs/>
          <w:lang w:val="el" w:eastAsia="el"/>
        </w:rPr>
        <w:t>ΑΠΟΔΕΚΤΕΣ ΓΙΑ ΚΟΙΝΟΠΟΙΗΣΗ</w:t>
      </w:r>
    </w:p>
    <w:p>
      <w:pPr>
        <w:spacing w:before="240" w:after="240"/>
        <w:rPr>
          <w:lang w:val="el" w:eastAsia="el"/>
        </w:rPr>
      </w:pPr>
      <w:r>
        <w:rPr>
          <w:b/>
          <w:bCs/>
          <w:lang w:val="el" w:eastAsia="el"/>
        </w:rPr>
        <w:t>1. Αποδέκτες Πίνακα Α΄</w:t>
      </w:r>
    </w:p>
    <w:p>
      <w:pPr>
        <w:spacing w:before="240" w:after="240"/>
        <w:rPr>
          <w:lang w:val="el" w:eastAsia="el"/>
        </w:rPr>
      </w:pPr>
      <w:r>
        <w:rPr>
          <w:b/>
          <w:bCs/>
          <w:lang w:val="el" w:eastAsia="el"/>
        </w:rPr>
        <w:t>2. Αποδέκτες Πίνακας Β αρ.1 έως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05"/>
        <w:gridCol w:w="1854"/>
        <w:gridCol w:w="60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εκτός από 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εκτός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µόνο ο αριθ.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αριθµοί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 21,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23,24, 25,26, 28, 29, 31, 32,33, 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w:t>
      </w:r>
      <w:r>
        <w:rPr>
          <w:b/>
          <w:bCs/>
          <w:lang w:val="el" w:eastAsia="el"/>
        </w:rPr>
        <w:t xml:space="preserve">. </w:t>
      </w:r>
      <w:r>
        <w:rPr>
          <w:b/>
          <w:bCs/>
          <w:lang w:val="el" w:eastAsia="el"/>
        </w:rPr>
        <w:t>ΕΣΩΤΕΡΙΚΗ ΔΙΑΝΟΜΗ</w:t>
      </w:r>
    </w:p>
    <w:p>
      <w:pPr>
        <w:spacing w:before="240" w:after="240"/>
        <w:rPr>
          <w:lang w:val="el" w:eastAsia="el"/>
        </w:rPr>
      </w:pPr>
      <w:r>
        <w:rPr>
          <w:b/>
          <w:bCs/>
          <w:lang w:val="el" w:eastAsia="el"/>
        </w:rPr>
        <w:t>1. Γραφείο Υπουργού Οικονοµικών.</w:t>
      </w:r>
    </w:p>
    <w:p>
      <w:pPr>
        <w:spacing w:before="240" w:after="240"/>
        <w:rPr>
          <w:lang w:val="el" w:eastAsia="el"/>
        </w:rPr>
      </w:pPr>
      <w:r>
        <w:rPr>
          <w:b/>
          <w:bCs/>
          <w:lang w:val="el" w:eastAsia="el"/>
        </w:rPr>
        <w:t>2. Γραφείο Αν. Υπουργού Οικονοµικών.</w:t>
      </w:r>
    </w:p>
    <w:p>
      <w:pPr>
        <w:spacing w:before="240" w:after="240"/>
        <w:rPr>
          <w:lang w:val="el" w:eastAsia="el"/>
        </w:rPr>
      </w:pPr>
      <w:r>
        <w:rPr>
          <w:b/>
          <w:bCs/>
          <w:lang w:val="el" w:eastAsia="el"/>
        </w:rPr>
        <w:t>3. Γραφείο Γεν. Γραµµατέα Οικονοµικής Πολιτικής.</w:t>
      </w:r>
    </w:p>
    <w:p>
      <w:pPr>
        <w:spacing w:before="240" w:after="240"/>
        <w:rPr>
          <w:lang w:val="el" w:eastAsia="el"/>
        </w:rPr>
      </w:pPr>
      <w:r>
        <w:rPr>
          <w:b/>
          <w:bCs/>
          <w:lang w:val="el" w:eastAsia="el"/>
        </w:rPr>
        <w:t>4. Γραφείο Γεν. Γραµµατέα ∆ηµοσίων Εσόδων.</w:t>
      </w:r>
    </w:p>
    <w:p>
      <w:pPr>
        <w:spacing w:before="240" w:after="240"/>
        <w:rPr>
          <w:lang w:val="el" w:eastAsia="el"/>
        </w:rPr>
      </w:pPr>
      <w:r>
        <w:rPr>
          <w:b/>
          <w:bCs/>
          <w:lang w:val="el" w:eastAsia="el"/>
        </w:rPr>
        <w:t>5. Γραφείο Γ.Γ.Π.Σ.</w:t>
      </w:r>
    </w:p>
    <w:p>
      <w:pPr>
        <w:spacing w:before="240" w:after="240"/>
        <w:rPr>
          <w:lang w:val="el" w:eastAsia="el"/>
        </w:rPr>
      </w:pPr>
      <w:r>
        <w:rPr>
          <w:b/>
          <w:bCs/>
          <w:lang w:val="el" w:eastAsia="el"/>
        </w:rPr>
        <w:t>6. Γραφείο κ. κ. Γενικών ∆ιευθυντών.</w:t>
      </w:r>
    </w:p>
    <w:p>
      <w:pPr>
        <w:spacing w:before="240" w:after="240"/>
        <w:rPr>
          <w:lang w:val="el" w:eastAsia="el"/>
        </w:rPr>
      </w:pPr>
      <w:r>
        <w:rPr>
          <w:b/>
          <w:bCs/>
          <w:lang w:val="el" w:eastAsia="el"/>
        </w:rPr>
        <w:t>7. Αυτοτελές γραφείο Επικοινωνίας και ∆ηµοσίων Σχέσεων (ΓΓ∆Ε).</w:t>
      </w:r>
    </w:p>
    <w:p>
      <w:pPr>
        <w:spacing w:before="240" w:after="240"/>
        <w:rPr>
          <w:lang w:val="el" w:eastAsia="el"/>
        </w:rPr>
      </w:pPr>
      <w:r>
        <w:rPr>
          <w:b/>
          <w:bCs/>
          <w:lang w:val="el" w:eastAsia="el"/>
        </w:rPr>
        <w:t>8. ∆/νση Νοµικής Υποστήριξης της Γ.Γ.∆.Ε.</w:t>
      </w:r>
    </w:p>
    <w:p>
      <w:pPr>
        <w:spacing w:before="240" w:after="240"/>
        <w:rPr>
          <w:lang w:val="el" w:eastAsia="el"/>
        </w:rPr>
      </w:pPr>
      <w:r>
        <w:rPr>
          <w:b/>
          <w:bCs/>
          <w:lang w:val="el" w:eastAsia="el"/>
        </w:rPr>
        <w:t>9. ∆/νση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