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ΕΠΙΛΥΣΗΣ ΔΙΑΦΟΡΩΝ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ΥΠΟΔΙΕΥΘΥΝΣΗ ΝΟΜΙΚΩΝ ΘΕΜΑΤΩΝ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Αριστογείτονος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17671 -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2131604525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2131604524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yee.ny@mofadm.gr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«Προθεσμία κατάθεσης ενδικοφανούς προσφυγής ενώπιον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Υπηρεσίας Εσωτερικής Επανεξέτασης για τους κατοίκους εξωτερικού»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τις διατάξεις της παραγράφου 16 του άρθρου 40 του ν. 4410/2016 (ΦΕΚ Α΄ 141/3.8.2016) </w:t>
      </w:r>
      <w:r>
        <w:rPr>
          <w:i/>
          <w:iCs/>
          <w:lang w:val="el" w:eastAsia="el"/>
        </w:rPr>
        <w:t>«Τροποποιήσεις του Εθνικού Τελωνειακού Κώδικα … πώληση προϊόντων καπνού … κατάργηση της οδηγίας 2001/37/ΕΚ και άλλες διατάξεις»</w:t>
      </w:r>
      <w:r>
        <w:rPr>
          <w:lang w:val="el" w:eastAsia="el"/>
        </w:rPr>
        <w:t>, αναφορικά με την επιμήκυνση της προθεσμίας κατάθεσης ενδικοφανούς προσφυγής για τους φορολογούμενους κατοίκους εξωτερικού ενώπιον της Υπηρεσίας Εσωτερικής Επανεξέτασης (ήδη μετονομασθείσας σε Διεύθυνση Επίλυσης Διαφορών δυνάμει της Δ6Α1198069 ΕΞ 2013/30.12.2013 Απόφασης του Γενικού Γραμματέα Δημοσίων Εσόδων του Υπουργείου Οικονομικών, ΦΕΚ Β΄3367/31.12.2013).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με τις διατάξεις της παραγράφου 16 του εν λόγω άρθρου, προστέθηκε εδάφιο ε΄ στην παρ.1 του άρθρου 63 του ν. 4174/2013, με το οποίο ορίζεται πλέον (από 3.8.2016) για τους φορολογούμενους κατοίκους εξωτερικού, προθεσμία εξήντα (60) ημερών από την κοινοποίηση της πράξης ή την συντέλεση της παράλειψης της Φορολογικής Διοίκησης για την κατάθεση ενδικοφανούς προσφυγής.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 η ως άνω ρύθμιση καταλαμβάνει και τις υποθέσεις για τις οποίες κατά την δημοσίευση του νόμου (3.8.2016) δεν είχε παρέλθει η προθεσμία των τριάντα (30) ημερών του εδ.γ΄ της παρ.1 του αρθ.63 Ν.4174/2013 για την κατάθεση της ενδικοφανούς προσφυγής.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Γενικός ΓραμματέαςΔημοσίων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ΣΥΝΗΜΜΕΝΑ : έξι (6)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(πλην περ. 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Υπουργείο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Γενική Επιτροπεία της Επικρατείας των Τακτικών Διοικητικών Δικαστηρίων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Ειδικό Γραφείο Νομικού Συμβούλου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Νομικού Συμβούλου στο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Π.Ο.Ε. –Δ.Ο.Υ. – Λεωχάρους 2, Τ.Κ. 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«ΦΟΡΟΛΟΓΙΚΗ ΕΠΙΘΕΩΡΗΣΗ»- Λεωχάρους 2, Τ.Κ. 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Δικηγορικοί Σύλλογοι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Η΄ (πλην περ. 10,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Αναπληρωτών Υπουργών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Προϊσταμένων Γενικών Δ/νσεων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Όλες τις Διευθύνσεις, Αυτοτελή Τμήματα και Αυτοτελή Γραφεία της Κεντρικής Υπηρεσίας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Επίλυσης Διαφορών, Τμήματα Α1-Α8, Β1, Β2, Αυτοτελές Τμήμα Διοικητικής Υποστήριξης (11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 (5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 (10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ee.ny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