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ΕΛΕΓΧΩΝ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 Δ΄</w:t>
      </w:r>
    </w:p>
    <w:p>
      <w:pPr>
        <w:spacing w:before="240" w:after="240"/>
        <w:rPr>
          <w:lang w:val="el" w:eastAsia="el"/>
        </w:rPr>
      </w:pPr>
      <w:r>
        <w:rPr>
          <w:b/>
          <w:bCs/>
          <w:lang w:val="el" w:eastAsia="el"/>
        </w:rPr>
        <w:t>Ταχ. Κ ώδικας: Κ. Σερβίας 8</w:t>
      </w:r>
    </w:p>
    <w:p>
      <w:pPr>
        <w:spacing w:before="240" w:after="240"/>
        <w:rPr>
          <w:lang w:val="el" w:eastAsia="el"/>
        </w:rPr>
      </w:pPr>
      <w:r>
        <w:rPr>
          <w:b/>
          <w:bCs/>
          <w:lang w:val="el" w:eastAsia="el"/>
        </w:rPr>
        <w:t xml:space="preserve">Τηλέφωνο : 2103375063 </w:t>
      </w:r>
      <w:r>
        <w:rPr>
          <w:lang w:val="el" w:eastAsia="el"/>
        </w:rPr>
        <w:t>-</w:t>
      </w:r>
      <w:r>
        <w:rPr>
          <w:b/>
          <w:bCs/>
          <w:lang w:val="el" w:eastAsia="el"/>
        </w:rPr>
        <w:t>2103375307</w:t>
      </w:r>
    </w:p>
    <w:p>
      <w:pPr>
        <w:spacing w:before="240" w:after="240"/>
        <w:rPr>
          <w:lang w:val="el" w:eastAsia="el"/>
        </w:rPr>
      </w:pPr>
      <w:r>
        <w:rPr>
          <w:b/>
          <w:bCs/>
          <w:lang w:val="el" w:eastAsia="el"/>
        </w:rPr>
        <w:t>2103375847</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d.eleg2@mofadm.gr</w:t>
        </w:r>
      </w:hyperlink>
    </w:p>
    <w:p>
      <w:pPr>
        <w:spacing w:before="240" w:after="240"/>
        <w:rPr>
          <w:lang w:val="el" w:eastAsia="el"/>
        </w:rPr>
      </w:pPr>
      <w:r>
        <w:rPr>
          <w:b/>
          <w:bCs/>
          <w:u w:val="single"/>
          <w:lang w:val="el" w:eastAsia="el"/>
        </w:rPr>
        <w:t>ΘΕΜΑ:</w:t>
      </w:r>
      <w:r>
        <w:rPr>
          <w:b/>
          <w:bCs/>
          <w:lang w:val="el" w:eastAsia="el"/>
        </w:rPr>
        <w:t xml:space="preserve"> « </w:t>
      </w:r>
      <w:r>
        <w:rPr>
          <w:b/>
          <w:bCs/>
          <w:lang w:val="el" w:eastAsia="el"/>
        </w:rPr>
        <w:t>Κοινοποίηση διατάξεων των άρθρων 40 και 56 του ν.4410/2016(ΦΕΚ 141 Α΄/3.8.2016) με τις οποίες τροποποιήθηκαν οι σχετικές διατάξεις του ν.4174/2013 ».</w:t>
      </w:r>
    </w:p>
    <w:p>
      <w:pPr>
        <w:spacing w:before="240" w:after="240"/>
        <w:rPr>
          <w:lang w:val="el" w:eastAsia="el"/>
        </w:rPr>
      </w:pPr>
      <w:r>
        <w:rPr>
          <w:b/>
          <w:bCs/>
          <w:lang w:val="el" w:eastAsia="el"/>
        </w:rPr>
        <w:t>Σας κοινοποιούμε συνημμένα για ενημέρωση και εφαρμογή διατάξεις των άρθρων 40 και 56 του ν. 4410/2016 «Τροποποιήσεις του Εθνικού Τελωνειακού Κώδικα προς ενίσχυση της καταπολέμησης της παράνομης εμπορίας καπνού και βιομηχανοποιημένων καπνών ……. και άλλες διατάξεις», ο οποίος δημοσιεύτηκε στην Εφημερίδα της Κυβερνήσεως.(ΦΕΚ 1411 Α΄3.8.2016) και σας γνωρίζουμε τα ακόλουθα:</w:t>
      </w:r>
    </w:p>
    <w:p>
      <w:pPr>
        <w:pStyle w:val="Heading6"/>
        <w:spacing w:before="240" w:after="240"/>
        <w:rPr>
          <w:lang w:val="el" w:eastAsia="el"/>
        </w:rPr>
      </w:pPr>
      <w:r>
        <w:rPr>
          <w:b/>
          <w:bCs/>
          <w:u w:val="single"/>
          <w:lang w:val="el" w:eastAsia="el"/>
        </w:rPr>
        <w:t xml:space="preserve">Άρθρο </w:t>
      </w:r>
      <w:r>
        <w:rPr>
          <w:b/>
          <w:bCs/>
          <w:u w:val="single"/>
          <w:lang w:val="el" w:eastAsia="el"/>
        </w:rPr>
        <w:t>40</w:t>
      </w:r>
      <w:r>
        <w:rPr>
          <w:b/>
          <w:bCs/>
          <w:lang w:val="el" w:eastAsia="el"/>
        </w:rPr>
        <w:t xml:space="preserve"> </w:t>
      </w:r>
    </w:p>
    <w:p>
      <w:pPr>
        <w:pStyle w:val="Heading6"/>
        <w:spacing w:before="240" w:after="240"/>
        <w:rPr>
          <w:lang w:val="el" w:eastAsia="el"/>
        </w:rPr>
      </w:pPr>
      <w:r>
        <w:rPr>
          <w:b/>
          <w:bCs/>
          <w:u w:val="single"/>
          <w:lang w:val="el" w:eastAsia="el"/>
        </w:rPr>
        <w:t>Παράγραφοι 6.α και 6.β</w:t>
      </w:r>
    </w:p>
    <w:p>
      <w:pPr>
        <w:spacing w:before="240" w:after="240"/>
        <w:rPr>
          <w:lang w:val="el" w:eastAsia="el"/>
        </w:rPr>
      </w:pPr>
      <w:r>
        <w:rPr>
          <w:b/>
          <w:bCs/>
          <w:lang w:val="el" w:eastAsia="el"/>
        </w:rPr>
        <w:t>Με τις διατάξεις της παραγράφου 6.α. του άρθρου αυτού το πρώτο εδάφιο της παρ. 3 του άρθρου 21 του ν. 4174/2013 του Κ.Φ.Δ. αντικαθίσταται ως εξής: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Με την παράγραφο 6.β. του άρθρου αυτού ορίστηκε ότι «η προηγούμενη περίπτωση εφαρμόζεται για φακέλους τεκμηρίωσης που καταρτίζονται για συναλλαγές φορολογικών ετών που αρχίζουν από την 1.1.2015 και μετά».</w:t>
      </w:r>
    </w:p>
    <w:p>
      <w:pPr>
        <w:spacing w:before="240" w:after="240"/>
        <w:rPr>
          <w:lang w:val="el" w:eastAsia="el"/>
        </w:rPr>
      </w:pPr>
      <w:r>
        <w:rPr>
          <w:b/>
          <w:bCs/>
          <w:u w:val="single"/>
          <w:lang w:val="el" w:eastAsia="el"/>
        </w:rPr>
        <w:t xml:space="preserve">Παράγραφος </w:t>
      </w:r>
      <w:r>
        <w:rPr>
          <w:b/>
          <w:bCs/>
          <w:u w:val="single"/>
          <w:lang w:val="el" w:eastAsia="el"/>
        </w:rPr>
        <w:t>7</w:t>
      </w:r>
    </w:p>
    <w:p>
      <w:pPr>
        <w:spacing w:before="240" w:after="240"/>
        <w:rPr>
          <w:lang w:val="el" w:eastAsia="el"/>
        </w:rPr>
      </w:pPr>
      <w:r>
        <w:rPr>
          <w:b/>
          <w:bCs/>
          <w:lang w:val="el" w:eastAsia="el"/>
        </w:rPr>
        <w:t>Με τις διατάξεις της παραγράφου 7 του άρθρου αυτού το τελευταίο εδάφιο της παρ. 6 του άρθρου 21 του ν. 4174/2013. αντικαθίσταται ως εξής: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p>
    <w:p>
      <w:pPr>
        <w:spacing w:before="240" w:after="240"/>
        <w:rPr>
          <w:lang w:val="el" w:eastAsia="el"/>
        </w:rPr>
      </w:pPr>
      <w:r>
        <w:rPr>
          <w:b/>
          <w:bCs/>
          <w:u w:val="single"/>
          <w:lang w:val="el" w:eastAsia="el"/>
        </w:rPr>
        <w:t>Παράγραφοι 8.α. και 8.β.</w:t>
      </w:r>
    </w:p>
    <w:p>
      <w:pPr>
        <w:spacing w:before="240" w:after="240"/>
        <w:rPr>
          <w:lang w:val="el" w:eastAsia="el"/>
        </w:rPr>
      </w:pPr>
      <w:r>
        <w:rPr>
          <w:b/>
          <w:bCs/>
          <w:lang w:val="el" w:eastAsia="el"/>
        </w:rPr>
        <w:t>Με τις διατάξεις της παραγράφου 8.α. του άρθρου αυτού στο δεύτερο εδάφιο της παρ. 3 του άρθρου 22 του ν. 4174/2013 που αναφέρεται στην έκδοση απόφασης αίτησης προέγκρισης μεθοδολογίας ενδοομιλικής τιμολόγησης, οι λέξεις «εκατόν είκοσι (120) ημερών» αντικαθίστανται από τις λέξεις «δεκαοκτώ (18) μηνών». Με την παράγραφο 8.β. του άρθρου αυτού στην ίδια ως άνω παράγραφο 3 του άρθρου 22 του ν. 4174/2013 προστίθεται τελευταίο εδάφιο ως εξής: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p>
    <w:p>
      <w:pPr>
        <w:spacing w:before="240" w:after="240"/>
        <w:rPr>
          <w:lang w:val="el" w:eastAsia="el"/>
        </w:rPr>
      </w:pPr>
      <w:r>
        <w:rPr>
          <w:b/>
          <w:bCs/>
          <w:u w:val="single"/>
          <w:lang w:val="el" w:eastAsia="el"/>
        </w:rPr>
        <w:t>Παράγραφος 9α</w:t>
      </w:r>
    </w:p>
    <w:p>
      <w:pPr>
        <w:spacing w:before="240" w:after="240"/>
        <w:rPr>
          <w:lang w:val="el" w:eastAsia="el"/>
        </w:rPr>
      </w:pPr>
      <w:r>
        <w:rPr>
          <w:b/>
          <w:bCs/>
          <w:lang w:val="el" w:eastAsia="el"/>
        </w:rPr>
        <w:t xml:space="preserve">Με τις διατάξεις της παραγράφου 9α του άρθρου αυτού τροποποιήθηκε η περίπτωση </w:t>
      </w:r>
      <w:r>
        <w:rPr>
          <w:b/>
          <w:bCs/>
          <w:lang w:val="el" w:eastAsia="el"/>
        </w:rPr>
        <w:t xml:space="preserve">α) </w:t>
      </w:r>
      <w:r>
        <w:rPr>
          <w:b/>
          <w:bCs/>
          <w:lang w:val="el" w:eastAsia="el"/>
        </w:rPr>
        <w:t>της παραγράφου 2 του άρθρου 23 του Κ.Φ.Δ. .Ειδικότερα με τις διατάξεις αυτές ορίζεται ότι στις περιπτώσεις που η φορολογική διοίκηση διενεργεί έλεγχο από το γραφείο αξιοποιεί εκτός των στοιχείων που έχει στην κατοχή της ( οικονομικές καταστάσεις, δηλώσεις και λοιπά στοιχεία που υποβάλλει ο φορολογούμενος, έγγραφα ή πληροφορίες που περιήλθαν από τρίτους) και τα βιβλία και λογιστικά αρχεία που προσκομίζονται από το φορολογούμενο κατόπιν σχετικής πρόσκλησης από τη φορολογική διοίκηση .</w:t>
      </w:r>
    </w:p>
    <w:p>
      <w:pPr>
        <w:spacing w:before="240" w:after="240"/>
        <w:rPr>
          <w:lang w:val="el" w:eastAsia="el"/>
        </w:rPr>
      </w:pPr>
      <w:r>
        <w:rPr>
          <w:b/>
          <w:bCs/>
          <w:lang w:val="el" w:eastAsia="el"/>
        </w:rPr>
        <w:t>Παράγραφος 10</w:t>
      </w:r>
    </w:p>
    <w:p>
      <w:pPr>
        <w:spacing w:before="240" w:after="240"/>
        <w:rPr>
          <w:lang w:val="el" w:eastAsia="el"/>
        </w:rPr>
      </w:pPr>
      <w:r>
        <w:rPr>
          <w:b/>
          <w:bCs/>
          <w:lang w:val="el" w:eastAsia="el"/>
        </w:rPr>
        <w:t>Με τις διατάξεις της παραγράφου 10 του άρθρου αυτού αντικαταστάθηκε η παράγραφος 2 του άρθρου 24 του Κ.Φ.Δ. Με τις διατάξεις αυτές προβλέπεται ότι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προβλέπεται ότι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Τέλος η Φορολογική Διοίκηση δικαιούται να λαμβάνει τα ηλεκτρονικά αρχεία σε αναγνώσιμη ηλεκτρονική ή έντυπη μορφή .</w:t>
      </w:r>
    </w:p>
    <w:p>
      <w:pPr>
        <w:spacing w:before="240" w:after="240"/>
        <w:rPr>
          <w:lang w:val="el" w:eastAsia="el"/>
        </w:rPr>
      </w:pPr>
      <w:r>
        <w:rPr>
          <w:b/>
          <w:bCs/>
          <w:lang w:val="el" w:eastAsia="el"/>
        </w:rPr>
        <w:t>Παράγραφος 11 α</w:t>
      </w:r>
    </w:p>
    <w:p>
      <w:pPr>
        <w:spacing w:before="240" w:after="240"/>
        <w:rPr>
          <w:lang w:val="el" w:eastAsia="el"/>
        </w:rPr>
      </w:pPr>
      <w:r>
        <w:rPr>
          <w:b/>
          <w:bCs/>
          <w:lang w:val="el" w:eastAsia="el"/>
        </w:rPr>
        <w:t>Με τις διατάξεις της παραγράφου 11α του άρθρου αυτού τροποποιούνται οι διατάξεις του τελευταίου εδαφίου της παραγράφου 3 του άρθρου 25 του ν. 4174/2013 του Κ.Φ.Δ. και προβλέπεται ότι στις περιπτώσεις που παρίσταται ανάγκη να εισέλθει η φορολογική διοίκηση στα πλαίσια διενέργειας επιτόπιου φορολογικού ελέγχου στην κατοικία του φορολογούμενου, εκτός από τη σχετική εντολή του αρμόδιου Εισαγγελέα για την πραγματοποίηση του ελέγχου, απαιτείται και η παρουσία δικαστικού λειτουργού .</w:t>
      </w:r>
    </w:p>
    <w:p>
      <w:pPr>
        <w:spacing w:before="240" w:after="240"/>
        <w:rPr>
          <w:lang w:val="el" w:eastAsia="el"/>
        </w:rPr>
      </w:pPr>
      <w:r>
        <w:rPr>
          <w:b/>
          <w:bCs/>
          <w:lang w:val="el" w:eastAsia="el"/>
        </w:rPr>
        <w:t>Παράγραφος 11β</w:t>
      </w:r>
    </w:p>
    <w:p>
      <w:pPr>
        <w:spacing w:before="240" w:after="240"/>
        <w:rPr>
          <w:lang w:val="el" w:eastAsia="el"/>
        </w:rPr>
      </w:pPr>
      <w:r>
        <w:rPr>
          <w:b/>
          <w:bCs/>
          <w:lang w:val="el" w:eastAsia="el"/>
        </w:rPr>
        <w:t>Με τις διατάξεις της παραγράφου 11β τροποποιούνται οι διατάξεις του πρώτου εδαφίου της παραγράφου 5 του άρθρου 25 του Κ.Φ.Δ. και προβλέπονται οι περιπτώσεις κατά τις οποίες η φορολογική διοίκηση έχει δικαίωμα επανελέγχου φορολογικής περιόδου ή υπόθεσης για την οποία έχει ήδη διενεργηθεί πλήρης έλεγχος . Ειδικότερα με τις ως άνω διατάξεις προβλέπεται ότι η φορολογική διοίκηση μπορεί να διενεργεί επανέλεγχο στις περιπτώσεις που προκύπτουν νέα στοιχεία, δηλαδή στοιχεία που δεν θα μπορούσαν να είναι γνωστά στη φορολογική διοίκηση κατά τον αρχικό φορολογικό έλεγχο, από τα οποία προκύπτει ότι η φορολογική οφειλή υπερβαίνει αυτήν που είχε προσδιορισθεί κατόπιν του αρχικού ελέγχου .</w:t>
      </w:r>
    </w:p>
    <w:p>
      <w:pPr>
        <w:spacing w:before="240" w:after="240"/>
        <w:rPr>
          <w:lang w:val="el" w:eastAsia="el"/>
        </w:rPr>
      </w:pPr>
      <w:r>
        <w:rPr>
          <w:b/>
          <w:bCs/>
          <w:lang w:val="el" w:eastAsia="el"/>
        </w:rPr>
        <w:t>Παράγραφος 12</w:t>
      </w:r>
    </w:p>
    <w:p>
      <w:pPr>
        <w:spacing w:before="240" w:after="240"/>
        <w:rPr>
          <w:lang w:val="el" w:eastAsia="el"/>
        </w:rPr>
      </w:pPr>
      <w:r>
        <w:rPr>
          <w:b/>
          <w:bCs/>
          <w:lang w:val="el" w:eastAsia="el"/>
        </w:rPr>
        <w:t>Στο πρώτο εδάφιο της παρ. 1 του άρθρου 25 του ν.4174/2013 αντικαθίστανται οι λέξεις «αποτελέσματα του φορολογικού ελέγχου» με τις λέξεις «σημείωμα διαπιστώσεων με τα αποτελέσματα του φορολογικού ελέγχου».</w:t>
      </w:r>
    </w:p>
    <w:p>
      <w:pPr>
        <w:pStyle w:val="Heading6"/>
        <w:spacing w:before="240" w:after="240"/>
        <w:rPr>
          <w:lang w:val="el" w:eastAsia="el"/>
        </w:rPr>
      </w:pPr>
      <w:r>
        <w:rPr>
          <w:b/>
          <w:bCs/>
          <w:u w:val="single"/>
          <w:lang w:val="el" w:eastAsia="el"/>
        </w:rPr>
        <w:t xml:space="preserve">Άρθρο </w:t>
      </w:r>
      <w:r>
        <w:rPr>
          <w:b/>
          <w:bCs/>
          <w:u w:val="single"/>
          <w:lang w:val="el" w:eastAsia="el"/>
        </w:rPr>
        <w:t>56</w:t>
      </w:r>
      <w:r>
        <w:rPr>
          <w:b/>
          <w:bCs/>
          <w:lang w:val="el" w:eastAsia="el"/>
        </w:rPr>
        <w:t xml:space="preserve"> </w:t>
      </w:r>
    </w:p>
    <w:p>
      <w:pPr>
        <w:pStyle w:val="Heading6"/>
        <w:spacing w:before="240" w:after="240"/>
        <w:rPr>
          <w:lang w:val="el" w:eastAsia="el"/>
        </w:rPr>
      </w:pPr>
      <w:r>
        <w:rPr>
          <w:b/>
          <w:bCs/>
          <w:lang w:val="el" w:eastAsia="el"/>
        </w:rPr>
        <w:t>Παράγραφοι 1, 2, 3, 4 και 5</w:t>
      </w:r>
    </w:p>
    <w:p>
      <w:pPr>
        <w:pStyle w:val="MainText"/>
        <w:spacing w:before="120" w:after="0"/>
        <w:rPr>
          <w:lang w:val="el" w:eastAsia="el"/>
        </w:rPr>
      </w:pPr>
      <w:r>
        <w:rPr>
          <w:b/>
          <w:bCs/>
          <w:lang w:val="el" w:eastAsia="el"/>
        </w:rPr>
        <w:t>1.</w:t>
      </w:r>
      <w:r>
        <w:rPr>
          <w:b/>
          <w:bCs/>
          <w:lang w:val="el" w:eastAsia="el"/>
        </w:rPr>
        <w:t xml:space="preserve"> Με τις διατάξεις της παραγράφου 1 του άρθρου 56 του ν.4410/2016 αντικαταστάθηκαν τα δύο πρώτα εδάφια της παρ. 1 του άρθρου 65Α του ν.4174/2013 (Α΄170). Σύμφωνα με τις νέες διατάξεις νόμιμοι ελεγκτές και ελεγκτικά γραφεία που είναι εγγεγραμμένοι στο δημόσιο μητρώο του ν.3693/2008 (Α΄174)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οποίο πλέον είναι προαιρετικό για τις ανωτέρω εταιρείες και επιχειρήσεις. Με τις προϊσχύουσες διατάξεις οι νόμιμοι ελεγκτές και τα ελεγκτικά γραφεία υποχρεούνταν στην έκδοση ετήσιου πιστοποιητικού για τις ανωτέρω εταιρείες και επιχειρήσεις.</w:t>
      </w:r>
    </w:p>
    <w:p>
      <w:pPr>
        <w:pStyle w:val="MainText"/>
        <w:spacing w:before="120" w:after="0"/>
        <w:rPr>
          <w:lang w:val="el" w:eastAsia="el"/>
        </w:rPr>
      </w:pPr>
      <w:r>
        <w:rPr>
          <w:b/>
          <w:bCs/>
          <w:lang w:val="el" w:eastAsia="el"/>
        </w:rPr>
        <w:t>2.</w:t>
      </w:r>
      <w:r>
        <w:rPr>
          <w:b/>
          <w:bCs/>
          <w:lang w:val="el" w:eastAsia="el"/>
        </w:rPr>
        <w:t xml:space="preserve"> Με τις διατάξεις της παραγράφου 2 του άρθρου 56 του ν.4410/2016 αντικαταστάθηκε το έκτο εδάφιο της παρ. 1 του άρθρου 65Α του ν.4174/2013. Σύμφωνα με τις νέες διατάξεις οι εταιρείες και οι επιχειρήσεις για τις οποίες εκδίδεται το ετήσιο φορολογικό πιστοποιητικό υποχρεούνται να αναθέτουν, ανά πέντε (5) έτη, την έκδοσή του σε διαφορετικό νόμιμο ελεγκτή ή σε διαφορετικό ελεγκτικό γραφείο. Η ως άνω υποχρέωση, η οποία δεν υπήρχε στις προϊσχύουσες διατάξεις, ισχύει για τα φορολογικά πιστοποιητικά που εκδίδονται για φορολογικά έτη που αρχίζουν από την 1η Ιανουαρίου 2016.</w:t>
      </w:r>
    </w:p>
    <w:p>
      <w:pPr>
        <w:pStyle w:val="MainText"/>
        <w:spacing w:before="120" w:after="0"/>
        <w:rPr>
          <w:lang w:val="el" w:eastAsia="el"/>
        </w:rPr>
      </w:pPr>
      <w:r>
        <w:rPr>
          <w:b/>
          <w:bCs/>
          <w:lang w:val="el" w:eastAsia="el"/>
        </w:rPr>
        <w:t>3.</w:t>
      </w:r>
      <w:r>
        <w:rPr>
          <w:b/>
          <w:bCs/>
          <w:lang w:val="el" w:eastAsia="el"/>
        </w:rPr>
        <w:t xml:space="preserve"> Με τις διατάξεις της παραγράφου 3 του άρθρου 56 του ν.4410/2016 αντικαταστάθηκε το έβδομο εδάφιο της παρ. 1 του άρθρου 65Α του ν.4174/2013. Σύμφωνα με τις νέες διατάξεις, κατά την επιλογή υποθέσεων προς έλεγχο, σύμφωνα με τις διατάξεις του άρθρου 26 του ν.4174/2013, μπορεί να λαμβάνεται υπόψη η διαπίστωση στο φορολογικό πιστοποιητικό παραβάσεων της φορολογικής νομοθεσίας, ενώ με τις προϊσχύουσες διατάξεις μπορούσε να λαμβάνεται υπόψη και η μη έκδοση του φορολογικού πιστοποιητικού.</w:t>
      </w:r>
    </w:p>
    <w:p>
      <w:pPr>
        <w:pStyle w:val="MainText"/>
        <w:spacing w:before="120" w:after="0"/>
        <w:rPr>
          <w:lang w:val="el" w:eastAsia="el"/>
        </w:rPr>
      </w:pPr>
      <w:r>
        <w:rPr>
          <w:b/>
          <w:bCs/>
          <w:lang w:val="el" w:eastAsia="el"/>
        </w:rPr>
        <w:t>4.</w:t>
      </w:r>
      <w:r>
        <w:rPr>
          <w:b/>
          <w:bCs/>
          <w:lang w:val="el" w:eastAsia="el"/>
        </w:rPr>
        <w:t xml:space="preserve"> Με τις διατάξεις της παραγράφου 4 του άρθρου 56 του ν. 4410/2016, αντικαταστάθηκε το πρώτο εδάφιο της παρ. 40 του άρθρου 72 του ν. 4174/2013, όπως προστέθηκε με το άρθρο 50 της παρ. 2 του ν.4223/2013 (Α` 287), το οποίο προέβλεπε ότι οι διατάξεις του άρθρου 65Α τίθενται σε ισχύ για χρήσεις που αρχίζουν από 1ης Ιανουαρίου 2014 και καταργούνται για τις χρήσεις που αρχίζουν από 1.1.2016 και μετά. Σύμφωνα με τις νέες διατάξεις καταργήθηκε η φράση «και καταργούνται για τις χρήσεις που αρχίζουν από 1.1.2016 και μετά» κι επομένως εξακολουθεί να ισχύει η διαδικασία έκδοσης του ετήσιου φορολογικού πιστοποιητικού.</w:t>
      </w:r>
    </w:p>
    <w:p>
      <w:pPr>
        <w:pStyle w:val="MainText"/>
        <w:spacing w:before="120" w:after="0"/>
        <w:rPr>
          <w:lang w:val="el" w:eastAsia="el"/>
        </w:rPr>
      </w:pPr>
      <w:r>
        <w:rPr>
          <w:b/>
          <w:bCs/>
          <w:lang w:val="el" w:eastAsia="el"/>
        </w:rPr>
        <w:t>5.</w:t>
      </w:r>
      <w:r>
        <w:rPr>
          <w:b/>
          <w:bCs/>
          <w:lang w:val="el" w:eastAsia="el"/>
        </w:rPr>
        <w:t xml:space="preserve"> Με τις διατάξεις της παραγράφου 5 του άρθρου 56 του ν.4410/2016 ορίζεται ότι οι διατάξεις των παραγράφων 1 έως 3 του άρθρου 56 του ν. 4410/2016 τίθενται σε ισχύ για φορολογικά πιστοποιητικά που εκδίδονται για φορολογικά έτη που αρχίζουν από την 1η Ιανουαρίου 2016.</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Συνημμένα : (5 )φύλλα</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I ΑΠΟΔΕΚΤΕΣ ΓΙΑ ΕΝΕΡΓΕΙΑ</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Γ΄</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Υποστήριξης Ηλεκτρονικών Υπηρεσιών ( για ανάρτηση στην ιστοσελίδα της Γ.Γ.Δ.Ε.)</w:t>
      </w:r>
    </w:p>
    <w:p>
      <w:pPr>
        <w:spacing w:before="240" w:after="240"/>
        <w:rPr>
          <w:lang w:val="el" w:eastAsia="el"/>
        </w:rPr>
      </w:pPr>
      <w:r>
        <w:rPr>
          <w:b/>
          <w:bCs/>
          <w:lang w:val="el" w:eastAsia="el"/>
        </w:rPr>
        <w:t>ΙΙ</w:t>
      </w:r>
      <w:r>
        <w:rPr>
          <w:b/>
          <w:bCs/>
          <w:lang w:val="el" w:eastAsia="el"/>
        </w:rPr>
        <w:t xml:space="preserve">. </w:t>
      </w:r>
      <w:r>
        <w:rPr>
          <w:b/>
          <w:bCs/>
          <w:lang w:val="el" w:eastAsia="el"/>
        </w:rPr>
        <w:t>ΑΠΟΔΕΚΤΕΣ ΠΡΟΣ ΚΟΙΝΟΠΟΙΗΣΗ</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Α΄ (μόνο 1,13,14,36)</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Β΄</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Ζ΄(εκτός 1,3)</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Η΄ (εκτός 4,10 και 11)</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Ι΄ (εκτός 4)</w:t>
      </w:r>
    </w:p>
    <w:p>
      <w:pPr>
        <w:spacing w:before="240" w:after="240"/>
        <w:rPr>
          <w:lang w:val="el" w:eastAsia="el"/>
        </w:rPr>
      </w:pPr>
      <w:r>
        <w:rPr>
          <w:b/>
          <w:bCs/>
          <w:lang w:val="el" w:eastAsia="el"/>
        </w:rPr>
        <w:t>ΙΙΙ. ΕΣΩΤΕΡΙΚΗ ΔΙΑΝΟΜΗ</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Υφυπουργού Οικονομικών κ. Κ. Παπανάτσιου</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Γενικού Γραμματέα Δημοσίων Εσόδων</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Αν. Γεν. Δ/ντή Φορ. Διοίκησης</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Γεν. Δ/ντή Ηλεκτρονικής Διακυβέρνησης και Ανθρώπινου Δυναμικού</w:t>
      </w:r>
    </w:p>
    <w:p>
      <w:pPr>
        <w:pStyle w:val="StructureList1"/>
        <w:spacing w:before="120" w:after="0"/>
        <w:rPr>
          <w:lang w:val="el" w:eastAsia="el"/>
        </w:rPr>
      </w:pPr>
      <w:r>
        <w:rPr>
          <w:b/>
          <w:bCs/>
          <w:lang w:val="el" w:eastAsia="el"/>
        </w:rPr>
        <w:t>-</w:t>
      </w:r>
      <w:r>
        <w:rPr>
          <w:b/>
          <w:bCs/>
          <w:lang w:val="en" w:eastAsia="en"/>
        </w:rPr>
        <w:tab/>
      </w:r>
      <w:r>
        <w:rPr>
          <w:b/>
          <w:bCs/>
          <w:lang w:val="el" w:eastAsia="el"/>
        </w:rPr>
        <w:t>Όλες τις Διευθύνσεις της Γενικής Διεύθυνσης Φορολογικής Διοίκησης</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Ελέγχων – Τμήματα Α΄, Β΄(5), Γ΄, Δ΄(5), Ε΄ ,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2@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