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ΙΟ ΟΙΚΟΝΟΜΙΚΩΝ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ΓΡΑΜΜΑΤΕΙΑ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2103642922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9/12/2016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1186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«Συμπληρωματικός πίνακας περιοχών εφαρμογής προγράμματος δακοκτονίας κατά το ελαιοκομικό έτος 2016 - 2017».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ΠΟΛ. 1162/3.11.2016 εγκυκλίου μας (ΑΔΑ: ΩΓΝΗΗ-ΠΒΗ), με την οποία κοινοποιήθηκε πίνακας των περιοχών, στις οποίες διενεργήθηκε, με μέριμνα του Δημοσίου, ομαδική καταπολέμηση του δάκου της ελιάς, κατά το ελαιοκομικό έτος 2016-2017, για την επιβολή της εισφοράς δακοκτονίας και έπειτα από το υπ’ αριθμ. 11527/126901/25.11.2016 έγγραφο του Υπουργού Αγροτικής Ανάπτυξης και Τροφίμων, σας κοινοποιούμε κατωτέρω συμπληρωματικό πίνακα των περιοχών εφαρμογής του προγράμματος δακοκτονίας στις Περιφερειακές Ενότητες Ρόδου-Καλύμνου-Καρπάθου-Κω, Ηρακλείου και Μεσσηνίας.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Στην Π.Ε. ΡΟΔΟΥ - ΚΑΛΥΜΝΟΥ - ΚΑΡΠΑΘΟΥ - 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Διαγράφονται</w:t>
      </w:r>
      <w:r>
        <w:rPr>
          <w:lang w:val="el" w:eastAsia="el"/>
        </w:rPr>
        <w:t xml:space="preserve">: ΔΗΜΟΣ ΑΣΤΥΠΑΛΑΙΑΣ ΔΗΜΟΣ ΚΑΛΥΜΝΟΥ </w:t>
      </w:r>
      <w:r>
        <w:rPr>
          <w:b/>
          <w:bCs/>
          <w:i/>
          <w:iCs/>
          <w:lang w:val="el" w:eastAsia="el"/>
        </w:rPr>
        <w:t>Δεν πραγματοποιήθηκε πρόγραμμα δακοκτονίας στους εν λόγω Δήμους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Στην Π.Ε. ΗΡΑΚΛΕΙΟΥ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Προστίθεται</w:t>
      </w:r>
      <w:r>
        <w:rPr>
          <w:lang w:val="el" w:eastAsia="el"/>
        </w:rPr>
        <w:t>: στο ΔΗΜΟ ΓΟΡΤΥΝΑΣ η Τοπική Κοινότητα ΧΟΥΣΤΟΥΛΙΑΝΩΝ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Στην Π.Ε. ΜΕΣΣΗΝΙΑΣ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Προστίθενται</w:t>
      </w:r>
      <w:r>
        <w:rPr>
          <w:lang w:val="el" w:eastAsia="el"/>
        </w:rPr>
        <w:t>: στο ΔΗΜΟ ΟΙΧΑΛΙΑΣ οι Τοπικές Κοινότητες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ΔΕΣΎΛΛΑ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ΔΙΑΒΟΛΙΤΣΊΟΥ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ΗΛΈΚΤΡΑΣ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ΚΑΡΝΑΣΊΟΥ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ΚΩΝΣΤΑΝΤΊΝΩΝ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ΜΆΛΤΑΣ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ΜΆΝΔΡΑΣ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ΜΑΝΤΖΑΡΊΟΥ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ΠΑΡΑΠΟΥΓΚΊΟΥ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ΑΝΘΟΎΣΗΣ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ΖΕΥΓΟΛΑΤΕΊΟΥ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ΚΑΛΛΙΡΡΟΗΣ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ΜΑΓΟΥΛΑΣ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ΜΕΛΙΓΑΛΑ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ΝΕΟΧΩΡΙΟΥ ΙΘΩΜΗΣ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ΣΚΑΛΑΣ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ΣΤΕΝΥΚΛΑΡΟΥ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ΤΣΟΥΚΑΛΑΙΙΚΩΝ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ισχύουν τα αναφερόμενα στην ΠΟΛ. 1162/3.11.2016 εγκύκλιό μας.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Αποκεντρωμένες Διοικήσεις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κοινοποιηθεί στις Περιφέρειες και στους ΟΤΑ Α΄ βαθμού χωρικής τους αρμοδιότητας)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Διεύθυνση Βιώσιμης Φυτικής Παραγωγής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Μεταποίησης και Ποιοτικού Ελέγχου Τροφίμων Φυτικής Παραγωγής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2 - Τ.Κ. 10176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Φυτοπροστασίας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2 - Τ.Κ. 10176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Προστασίας Φυτικής Παραγωγής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Συγγρού 150 - Τ.Κ. 17671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ΑΠΟΔΕΚΤΕΣ ΠΙΝΑΚΑ ΙE΄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Κεντρική Συνεταιριστική Ένωση Παραγωγών Ελαιοκομικών Προϊόντων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Ελαιουργική (ΚΣΕΠΕΠ)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37-39 - Τ.Κ. 10553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Σύλλογο Εμπόρων Βρωσίμων Ελαιών (Αθηνών - Πειραιώς)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Αριστοφάνους 17 - Τ.Κ. 105 54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Ομοσπονδία Ελλ. Ελαιουργείων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41 - Τ.Κ. 10439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ΟΠΕΚΕΠΕ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Διεύθυνση Μηχανισμών Αγοράς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Δομοκού 5 Τ.Κ. 10445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 Οικονομικών (κα. Αικ. Πανανάτσιου)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Γενικού Γραμματέα Γ.Γ.Π.Σ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Αναπληρωτή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Διευθύνσεις της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Διεύθυνση Νομικής Υποστήριξης της 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Διεύθυνση Εφαρμογής Έμμεσης Φορολογίας, Τμήμα Β΄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