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ΑΔΑ ΩΖ7ΦΗ-4ΘΛ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22 Δεκεμβρίου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ΑΡΙΘ. ΠΡΩΤ.: ΠΟΛ. 1202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 : Καρ. Σερβίας 8 Πληροφορίες : Μ. Μαμάκου </w:t>
      </w:r>
      <w:r>
        <w:rPr>
          <w:lang w:val="el" w:eastAsia="el"/>
        </w:rPr>
        <w:t>Τηλέφ</w:t>
      </w:r>
      <w:r>
        <w:rPr>
          <w:b/>
          <w:bCs/>
          <w:lang w:val="el" w:eastAsia="el"/>
        </w:rPr>
        <w:t>ωνο : 2103375063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2103375847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e-mail :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d.eleg2@mofadm.gr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Θέμα : </w:t>
      </w:r>
      <w:r>
        <w:rPr>
          <w:b/>
          <w:bCs/>
          <w:lang w:val="el" w:eastAsia="el"/>
        </w:rPr>
        <w:t xml:space="preserve">Κοινοποίηση της </w:t>
      </w:r>
      <w:r>
        <w:rPr>
          <w:b/>
          <w:bCs/>
          <w:lang w:val="el" w:eastAsia="el"/>
        </w:rPr>
        <w:t xml:space="preserve">6/2016 </w:t>
      </w:r>
      <w:r>
        <w:rPr>
          <w:b/>
          <w:bCs/>
          <w:lang w:val="el" w:eastAsia="el"/>
        </w:rPr>
        <w:t xml:space="preserve">γνωμοδότησης του Ν.Σ.Κ. σχετικά με την εφαρμογή των διατάξεων της περιπ. </w:t>
      </w:r>
      <w:r>
        <w:rPr>
          <w:b/>
          <w:bCs/>
          <w:lang w:val="el" w:eastAsia="el"/>
        </w:rPr>
        <w:t xml:space="preserve">δ΄ </w:t>
      </w:r>
      <w:r>
        <w:rPr>
          <w:b/>
          <w:bCs/>
          <w:lang w:val="el" w:eastAsia="el"/>
        </w:rPr>
        <w:t xml:space="preserve">της παραγράφου </w:t>
      </w:r>
      <w:r>
        <w:rPr>
          <w:b/>
          <w:bCs/>
          <w:lang w:val="el" w:eastAsia="el"/>
        </w:rPr>
        <w:t xml:space="preserve">2 </w:t>
      </w:r>
      <w:r>
        <w:rPr>
          <w:b/>
          <w:bCs/>
          <w:lang w:val="el" w:eastAsia="el"/>
        </w:rPr>
        <w:t xml:space="preserve">του άρθρου </w:t>
      </w:r>
      <w:r>
        <w:rPr>
          <w:b/>
          <w:bCs/>
          <w:lang w:val="el" w:eastAsia="el"/>
        </w:rPr>
        <w:t xml:space="preserve">7 </w:t>
      </w:r>
      <w:r>
        <w:rPr>
          <w:b/>
          <w:bCs/>
          <w:lang w:val="el" w:eastAsia="el"/>
        </w:rPr>
        <w:t xml:space="preserve">του </w:t>
      </w:r>
      <w:r>
        <w:rPr>
          <w:b/>
          <w:bCs/>
          <w:lang w:val="el" w:eastAsia="el"/>
        </w:rPr>
        <w:t>ν. 3888/2010.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Σχετικά με το παραπάνω θέμα, σας κοινοποιούμε προς ενημέρωσή σας φωτοαντίγραφο της αριθ. 6/2016 γνωμοδότησης του Νομικού Συμβουλίου του Κράτους, η οποία έγινε αποδεκτή από τον Γενικό Γραμματέα Δημοσίων Εσόδων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την εν λόγω γνωμοδότηση το Νομικό Συμβούλιο του Κράτους έκανε δεκτό ομοφώνως ότι « η επιχείρηση η οποία υπήχθη στις διατάξεις των άρθρων 1-13 του ν. 3888/2010 (περαίωση φορολογικών υποθέσεων ) αλλά είχε λάβει επιστροφή Φ.Π.Α. 90% , οφείλει να επιστρέψει , κατ΄ εφαρμογή του άρθρου 7 παρ. 2. του ν.3888/2010, το σύνολο του ληφθέντος ποσού και δεν τίθεται ζήτημα επιστροφής στην επιχείρηση του υπολοίπου 10% εφόσον, μετά την περαίωση (που επακολούθησε της επιστροφής ) διαπιστώθηκε φορολογική παράβαση της επιχείρησης κατά τις χρήσεις στις οποίες αφορά η περαίωση»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Προϊστάμενος της Διεύθ/νσης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ΚΑΤΣΙΠΗΣ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Συνημμένα : Η αριθ. 6/2016 Γνωμοδότηση του Ν.Σ.Κ.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I.ΑΠΟΔΕΚΤΕΣ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Αποδέκτες Πίνακα Γ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I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Πίνακα Α΄(μόνο για 1,13, 14, 36)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Αποδέκτες Πίνακα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Αποδέκτες Πίνακα Ζ΄(εκτός 1, 3 )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Αποδέκτες Πίνακα Η΄(εκτός 4,9,10)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Αποδέκτες Πίνακα Ι΄(εκτός 4 )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Υφυπουργού κ. Κ. Παπανάτσιου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Γενικού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Γεν. Διευθυντή Φορολογικής Διοίκησης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Δ/νση Ελέγχων - Τμήματα Α’ , Γ΄, Δ΄,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.eleg2@mofadm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