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ΑΔΑ:Ψ41ΝΗ – 17Π</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&amp; Δ’</w:t>
      </w:r>
    </w:p>
    <w:p>
      <w:pPr>
        <w:spacing w:before="240" w:after="240"/>
        <w:rPr>
          <w:lang w:val="el" w:eastAsia="el"/>
        </w:rPr>
      </w:pPr>
      <w:r>
        <w:rPr>
          <w:b/>
          <w:bCs/>
          <w:lang w:val="el" w:eastAsia="el"/>
        </w:rPr>
        <w:t>Αθήνα, 2 Ιανουαρίου 2017</w:t>
      </w:r>
    </w:p>
    <w:p>
      <w:pPr>
        <w:spacing w:before="240" w:after="240"/>
        <w:rPr>
          <w:lang w:val="el" w:eastAsia="el"/>
        </w:rPr>
      </w:pPr>
      <w:r>
        <w:rPr>
          <w:b/>
          <w:bCs/>
          <w:lang w:val="el" w:eastAsia="el"/>
        </w:rPr>
        <w:t>Αριθ. Πρωτ.:ΔΕΑΦ 1000637 ΕΞ 2017</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ΑΘΗΝA</w:t>
      </w:r>
    </w:p>
    <w:p>
      <w:pPr>
        <w:spacing w:before="240" w:after="240"/>
        <w:rPr>
          <w:lang w:val="el" w:eastAsia="el"/>
        </w:rPr>
      </w:pPr>
      <w:r>
        <w:rPr>
          <w:lang w:val="el" w:eastAsia="el"/>
        </w:rPr>
        <w:t>2103375315, 2103610065 210 3375001</w:t>
      </w:r>
    </w:p>
    <w:p>
      <w:pPr>
        <w:spacing w:before="240" w:after="240"/>
        <w:rPr>
          <w:lang w:val="el" w:eastAsia="el"/>
        </w:rPr>
      </w:pPr>
      <w:hyperlink r:id="rId4" w:history="1">
        <w:r>
          <w:rPr>
            <w:rStyle w:val="Hyperlink"/>
            <w:color w:val="0000EE"/>
            <w:u w:color="0000EE"/>
            <w:lang w:val="el" w:eastAsia="el"/>
          </w:rPr>
          <w:t>d12.a@yo.syzefxis.gov.gr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διευκρινήσεων για την ιδιότητα του κατ’ επάγγελμα αγρότη σύμφωνα με την περ. 1 του άρθ.65 του ν.4389/2016 (Φ.Ε.Κ. 94 Α’)</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Σύμφωνα με τη υποπερίπτωση α/αε της παραγράφου 1 του άρθρου 65 του ν.4389/2016 (Φ.Ε.Κ. 94 Α’), που τροποποιεί την παρ. 1 του άρθρου 2 του ν.3874/2010 μια από τις βασικές προϋποθέσεις για να χαρακτηρισθεί κάποιος ως </w:t>
      </w:r>
      <w:r>
        <w:rPr>
          <w:b/>
          <w:bCs/>
          <w:lang w:val="el" w:eastAsia="el"/>
        </w:rPr>
        <w:t xml:space="preserve">επαγγελματίας αγρότης </w:t>
      </w:r>
      <w:r>
        <w:rPr>
          <w:lang w:val="el" w:eastAsia="el"/>
        </w:rPr>
        <w:t xml:space="preserve">είναι να </w:t>
      </w:r>
      <w:r>
        <w:rPr>
          <w:i/>
          <w:iCs/>
          <w:lang w:val="el" w:eastAsia="el"/>
        </w:rPr>
        <w:t>τηρεί λογιστικά βιβλία, σύμφωνα με την κείμενη νομοθεσία</w:t>
      </w:r>
      <w:r>
        <w:rPr>
          <w:lang w:val="el" w:eastAsia="el"/>
        </w:rPr>
        <w:t>.</w:t>
      </w:r>
    </w:p>
    <w:p>
      <w:pPr>
        <w:spacing w:before="240" w:after="240"/>
        <w:rPr>
          <w:lang w:val="el" w:eastAsia="el"/>
        </w:rPr>
      </w:pPr>
      <w:r>
        <w:rPr>
          <w:lang w:val="el" w:eastAsia="el"/>
        </w:rPr>
        <w:t xml:space="preserve">2. Με την παρ. 1 του άρθρου 21 του ν. 4172/2013 (Φ.Ε.Κ. 167 Α΄), όπως τροποποιήθηκε με την περ. α΄ της παρ. 6 του άρθρου 22 του ν. 4223/2013 (Φ.Ε.Κ. 287 Α΄), ορίζεται ότι </w:t>
      </w:r>
      <w:r>
        <w:rPr>
          <w:i/>
          <w:iCs/>
          <w:lang w:val="el" w:eastAsia="el"/>
        </w:rPr>
        <w:t xml:space="preserve">ειδικά για τον προσδιορισμό του εισοδήματος από </w:t>
      </w:r>
      <w:r>
        <w:rPr>
          <w:b/>
          <w:bCs/>
          <w:i/>
          <w:iCs/>
          <w:lang w:val="el" w:eastAsia="el"/>
        </w:rPr>
        <w:t xml:space="preserve">αγροτική επιχειρηματική δραστηριότητα, </w:t>
      </w:r>
      <w:r>
        <w:rPr>
          <w:i/>
          <w:iCs/>
          <w:lang w:val="el" w:eastAsia="el"/>
        </w:rPr>
        <w:t>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r>
        <w:rPr>
          <w:lang w:val="el" w:eastAsia="el"/>
        </w:rPr>
        <w:t>.</w:t>
      </w:r>
    </w:p>
    <w:p>
      <w:pPr>
        <w:spacing w:before="240" w:after="240"/>
        <w:rPr>
          <w:lang w:val="el" w:eastAsia="el"/>
        </w:rPr>
      </w:pPr>
      <w:r>
        <w:rPr>
          <w:lang w:val="el" w:eastAsia="el"/>
        </w:rPr>
        <w:t xml:space="preserve">3. Με την παρ. 1 του άρθρου 13 του ν.4174/2013 (Φ.Ε.Κ. 170 Α’), ορίζεται ότι </w:t>
      </w:r>
      <w:r>
        <w:rPr>
          <w:i/>
          <w:iCs/>
          <w:lang w:val="el" w:eastAsia="el"/>
        </w:rPr>
        <w:t xml:space="preserve">κάθε πρόσωπο με εισόδημα από επιχειρηματική δραστηριότητα </w:t>
      </w:r>
      <w:r>
        <w:rPr>
          <w:b/>
          <w:bCs/>
          <w:i/>
          <w:iCs/>
          <w:lang w:val="el" w:eastAsia="el"/>
        </w:rPr>
        <w:t xml:space="preserve">υποχρεούται να τηρεί </w:t>
      </w:r>
      <w:r>
        <w:rPr>
          <w:b/>
          <w:bCs/>
          <w:i/>
          <w:iCs/>
          <w:lang w:val="el" w:eastAsia="el"/>
        </w:rPr>
        <w:t xml:space="preserve">αξιόπιστο λογιστικό σύστημα και κατάλληλα λογιστικά αρχεία </w:t>
      </w:r>
      <w:r>
        <w:rPr>
          <w:i/>
          <w:iCs/>
          <w:lang w:val="el" w:eastAsia="el"/>
        </w:rPr>
        <w:t>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lang w:val="el" w:eastAsia="el"/>
        </w:rPr>
        <w:t>.</w:t>
      </w:r>
    </w:p>
    <w:p>
      <w:pPr>
        <w:spacing w:before="240" w:after="240"/>
        <w:rPr>
          <w:lang w:val="el" w:eastAsia="el"/>
        </w:rPr>
      </w:pPr>
      <w:r>
        <w:rPr>
          <w:lang w:val="el" w:eastAsia="el"/>
        </w:rPr>
        <w:t xml:space="preserve">4. Με την παράγραφο 2 του άρθρου 1 του ν.4308/2014 (Φ.Ε.Κ. 251 Α’), όπως ισχύει, ορίζονται οι οντότητες που εφαρμόζουν τις ρυθμίσεις των </w:t>
      </w:r>
      <w:r>
        <w:rPr>
          <w:b/>
          <w:bCs/>
          <w:lang w:val="el" w:eastAsia="el"/>
        </w:rPr>
        <w:t>Ελληνικών Λογιστικών Πρότυπων</w:t>
      </w:r>
      <w:r>
        <w:rPr>
          <w:lang w:val="el" w:eastAsia="el"/>
        </w:rPr>
        <w:t xml:space="preserve">. Συγκεκριμένα, με την περίπτωση γ της εν λόγω παραγράφου συμπεριλαμβάνεται </w:t>
      </w:r>
      <w:r>
        <w:rPr>
          <w:i/>
          <w:iCs/>
          <w:lang w:val="el" w:eastAsia="el"/>
        </w:rPr>
        <w:t>η ετερόρρυθμη εταιρεία, η ομόρρυθμη εταιρεία, η ατομική επιχείρηση και κάθε άλλη οντότητα που υποχρεούται στην εφαρμογή αυτού του νόμου από φορολογική ή άλλη νομοθετική διάταξη</w:t>
      </w:r>
      <w:r>
        <w:rPr>
          <w:lang w:val="el" w:eastAsia="el"/>
        </w:rPr>
        <w:t>.</w:t>
      </w:r>
    </w:p>
    <w:p>
      <w:pPr>
        <w:spacing w:before="240" w:after="240"/>
        <w:rPr>
          <w:lang w:val="el" w:eastAsia="el"/>
        </w:rPr>
      </w:pPr>
      <w:r>
        <w:rPr>
          <w:lang w:val="el" w:eastAsia="el"/>
        </w:rPr>
        <w:t xml:space="preserve">5. Σύμφωνα με τα ανωτέρω προκύπτει ότι οι αγρότες-φυσικά πρόσωπα, ως οντότητες της παραγράφου (2γ) του άρθρου 1 του ν.4308/2014 εφόσον αποκτούν εισόδημα από ατομική αγροτική επιχειρηματική δραστηριότητα, καταρχήν εφαρμόζουν τις ρυθμίσεις του νόμου αυτού, ήτοι έχουν υποχρέωση τήρησης βιβλίων. Συνεπώς την ιδιότητα φυσικού προσώπου ως </w:t>
      </w:r>
      <w:r>
        <w:rPr>
          <w:i/>
          <w:iCs/>
          <w:lang w:val="el" w:eastAsia="el"/>
        </w:rPr>
        <w:t>κατ’ επάγγελμα αγρότη,</w:t>
      </w:r>
      <w:r>
        <w:rPr>
          <w:lang w:val="el" w:eastAsia="el"/>
        </w:rPr>
        <w:t xml:space="preserve"> όπως ορίζεται στο άρθ.65 του 4389/2016, έχουν </w:t>
      </w:r>
      <w:r>
        <w:rPr>
          <w:b/>
          <w:bCs/>
          <w:lang w:val="el" w:eastAsia="el"/>
        </w:rPr>
        <w:t>όσοι ασκούν ατομική αγροτική επιχειρηματική δραστηριότητα και έχουν υποχρέωση τήρησης βιβλίων, ανεξαρτήτως υπαγωγής αυτών σε καθεστώς Φ.Π.Α. και ανεξαρτήτως υποχρέωσης ενημέρωσης ή μη των λογιστικών αρχείων (βιβλίων).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(για ανάρτηση στην ιστοσελίδα της Γ.Γ.Δ.Ε.)</w:t>
      </w:r>
    </w:p>
    <w:p>
      <w:pPr>
        <w:spacing w:before="240" w:after="240"/>
        <w:rPr>
          <w:lang w:val="el" w:eastAsia="el"/>
        </w:rPr>
      </w:pPr>
      <w:r>
        <w:rPr>
          <w:lang w:val="el" w:eastAsia="el"/>
        </w:rPr>
        <w:t>5. Διεύθυνση Παροχής Φορολογικών Υπηρεσιών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Αγροτικής Ανάπτυξης και Τροφίμων – Γενική Γραμματεία ΥΠΑΑΝ</w:t>
      </w:r>
    </w:p>
    <w:p>
      <w:pPr>
        <w:spacing w:before="240" w:after="240"/>
        <w:rPr>
          <w:lang w:val="el" w:eastAsia="el"/>
        </w:rPr>
      </w:pPr>
      <w:r>
        <w:rPr>
          <w:lang w:val="el" w:eastAsia="el"/>
        </w:rPr>
        <w:t>2. Υπουργείο Αγροτικής Ανάπτυξης και Τροφίμων – Γενική Γραμματεία Αγροτικής Πολιτικής &amp; Διαχείρισης Κοινοτικών Πόρων</w:t>
      </w:r>
    </w:p>
    <w:p>
      <w:pPr>
        <w:spacing w:before="240" w:after="240"/>
        <w:rPr>
          <w:lang w:val="el" w:eastAsia="el"/>
        </w:rPr>
      </w:pPr>
      <w:r>
        <w:rPr>
          <w:lang w:val="el" w:eastAsia="el"/>
        </w:rPr>
        <w:t>3. Υπουργείο Αγροτικής Ανάπτυξης και Τροφίμων – Δ/νση Οικονομικών Ελέγχων και Επιθεώρησης, Μενάνδρου 22, Τ.Κ. 105 52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Γραφείο κ. Αναπληρωτή Γενικού Δ/ντή Φορολογικής Διοίκησης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Γ.Γ.Δ.Ε.</w:t>
      </w:r>
    </w:p>
    <w:p>
      <w:pPr>
        <w:spacing w:before="240" w:after="240"/>
        <w:rPr>
          <w:lang w:val="el" w:eastAsia="el"/>
        </w:rPr>
      </w:pPr>
      <w:r>
        <w:rPr>
          <w:lang w:val="el" w:eastAsia="el"/>
        </w:rPr>
        <w:t>7. Δ/νση Εφαρμογής Άμεσης Φορολογίας - Τμήματα Α΄ (10) - Δ΄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