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ΑΔΑ:ΤΑΦΟΗ - ΤΛΑ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Γ’-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10184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Βλάχου Μ., Δράγκου Μ.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210-3375149,312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210-3375001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με αριθμό 324/2016 Γνωμοδότησης της Α’ Τακτικής Ολομέλειας του Ν.Σ.Κ».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ενημέρωσή σας την 324/2016 Γνωμοδότηση της Α’ Τακτικής Ολομέλειας του Νομικού Συμβουλίου του Κράτους, που έγινε δεκτή από τον Διοικητή της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αυτή, το Νομικό Συμβούλιο του Κράτους γνωμοδότησε κατά πλειοψηφία ότι τα γραφεία ή υποκαταστήματα αλλοδαπών ναυτιλιακών εταιρειών που εγκαθίστανται στην Ελλάδα βάσει των διατάξεων του άρθρου 25 του ν. 27/1975, δεν υπόκεινται στο τέλος επιτηδεύματος του άρθρου 31 του ν. 3986/2011.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ΕΥΘΥΜΙΟΣ ΣΑΪΤΗΣ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αριθ.324/2016 γνωμοδότηση της Α’ Τακτικής Ολομέλειας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 - Τμήμα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πινάκων Α’(εκτός του 3), Ζ΄ , Η΄(εκτός του 4,10 και 11), Θ΄(μόνο στα 1,2,10,16 και 18) Ι΄, Κ΄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Υπουργείο Ναυτιλίας και Νησιωτικής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Ακτή Βασιλειάδη, 18510 Πειραιάς (προς ενημέρωση των σχετικών εποπτευόμενων φορέων και επιχειρήσεων)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Γραφείο Γενικού Γραμματέα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Υπουργείο Οικονομίας, Ανάπτυξης (προς ενημέρωση των σχετικών εποπτευόμενων φορέων και επιχειρήσεων).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ΚΓ (μόνο στα 1,2,3,4,5,6 και 15)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της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Γενικών Δ/ντών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Εφαρμογής Άμεσης Φορολογίας – Τμήματα Α’ , Β' , Γ’ , Δ’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Νομικής Υποστήριξης της Α.Α.Δ.Ε.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