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 xml:space="preserve">Θέμα: «Κοινοποίηση της υπ. αρ. πρωτ. ΔΔΘΤΟΚ Γ 1019676 ΕΞ 2017/22-2-2017 Απόφασης Διοικητή ΑΑΔΕ </w:t>
      </w:r>
      <w:r>
        <w:rPr>
          <w:b/>
          <w:bCs/>
          <w:i/>
          <w:iCs/>
          <w:lang w:val="el" w:eastAsia="el"/>
        </w:rPr>
        <w:t>“</w:t>
      </w:r>
      <w:r>
        <w:rPr>
          <w:b/>
          <w:bCs/>
          <w:i/>
          <w:iCs/>
          <w:lang w:val="el" w:eastAsia="el"/>
        </w:rPr>
        <w:t>Καθορισμός των όρων, προϋποθέσεων, δικαιολογητικών και διαδικασίας απαλλαγής από το τέλος ταξινόμησης αυτοκινήτων που παραλαμβάνονται από πολύτεκνους γονείς και γονείς με τρία τέκνα” (ΦΕΚ 538/Β΄)</w:t>
      </w:r>
      <w:r>
        <w:rPr>
          <w:b/>
          <w:bCs/>
          <w:lang w:val="el" w:eastAsia="el"/>
        </w:rPr>
        <w:t>.</w:t>
      </w:r>
    </w:p>
    <w:p>
      <w:pPr>
        <w:spacing w:before="240" w:after="240"/>
        <w:rPr>
          <w:lang w:val="el" w:eastAsia="el"/>
        </w:rPr>
      </w:pPr>
      <w:r>
        <w:rPr>
          <w:b/>
          <w:bCs/>
          <w:lang w:val="el" w:eastAsia="el"/>
        </w:rPr>
        <w:t>ΣΧΕΤ</w:t>
      </w:r>
      <w:r>
        <w:rPr>
          <w:lang w:val="el" w:eastAsia="el"/>
        </w:rPr>
        <w:t>.: α) Άρθρο 36 του ν. 1563/85 (ΦΕΚ 151/Α΄) όπως έχει διαδοχικά τροποποιηθεί με τις διατάξεις του άρθρου 12 του ν. 3220/04 (ΦΕΚ 15/Α΄), του άρθρου 2 του ν. 3583/07 (ΦΕΚ 142/Α΄) και του άρθρου 20 του ν. 4110/13 (ΦΕΚ 17/Α΄) και ισχύει.</w:t>
      </w:r>
    </w:p>
    <w:p>
      <w:pPr>
        <w:pStyle w:val="StructureList1"/>
        <w:spacing w:before="120" w:after="0"/>
        <w:rPr>
          <w:lang w:val="el" w:eastAsia="el"/>
        </w:rPr>
      </w:pPr>
      <w:r>
        <w:rPr>
          <w:lang w:val="el" w:eastAsia="el"/>
        </w:rPr>
        <w:t>β)</w:t>
      </w:r>
      <w:r>
        <w:rPr>
          <w:lang w:val="en" w:eastAsia="en"/>
        </w:rPr>
        <w:tab/>
      </w:r>
      <w:r>
        <w:rPr>
          <w:lang w:val="el" w:eastAsia="el"/>
        </w:rPr>
        <w:t>Άρθρο 1 παράγραφος 2 του ν. 3454/06 (ΦΕΚ 75/Α’).</w:t>
      </w:r>
    </w:p>
    <w:p>
      <w:pPr>
        <w:spacing w:before="240" w:after="240"/>
        <w:rPr>
          <w:lang w:val="el" w:eastAsia="el"/>
        </w:rPr>
      </w:pPr>
      <w:r>
        <w:rPr>
          <w:lang w:val="el" w:eastAsia="el"/>
        </w:rPr>
        <w:t>Σας κοινοποιούμε για ενημέρωση και εφαρμογή την αρ. πρωτ. ΔΔΘΤΟΚ Γ 1019676 ΕΞ 2017/22-2-2017 Απόφαση Διοικητή ΑΑΔΕ σχετικά με τον καθορισμό των όρων, προϋποθέσεων, δικαιολογητικών και διαδικασίας απαλλαγής από το τέλος ταξινόμησης αυτοκινήτων που παραλαμβάνονται από πολύτεκνους γονείς και γονείς με τρία τέκν</w:t>
      </w:r>
      <w:r>
        <w:rPr>
          <w:i/>
          <w:iCs/>
          <w:lang w:val="el" w:eastAsia="el"/>
        </w:rPr>
        <w:t>α</w:t>
      </w:r>
      <w:r>
        <w:rPr>
          <w:lang w:val="el" w:eastAsia="el"/>
        </w:rPr>
        <w:t>, η οποία δημοσιεύτηκε στην Εφημερίδα της Κυβερνήσεως με αριθμό Φύλλου 538, στο τεύχος Β΄ της 22 Φεβρουαρίου 2017 και αναρτήθηκε στoν ιστότοπο «Διαύγεια» με κωδικό ΑΔΑ: 73Τ6Η-ΔΓΟ.</w:t>
      </w:r>
    </w:p>
    <w:p>
      <w:pPr>
        <w:spacing w:before="240" w:after="240"/>
        <w:rPr>
          <w:lang w:val="el" w:eastAsia="el"/>
        </w:rPr>
      </w:pPr>
      <w:r>
        <w:rPr>
          <w:lang w:val="el" w:eastAsia="el"/>
        </w:rPr>
        <w:t>Ειδικότερα, με την κοινοποιούμενη Απόφαση, με την οποία καταργείται η αριθμ. πρωτ. Δ 1163/147/Α0018/20-7-2006 ΑΥΟΟ (ΦΕΚ Β 1192/31.08.2006), επικαιροποιείται και κωδικοποιείται το κανονιστικό πλαίσιο αναφορικά με τη διαδικασία χορήγησης της εν λόγω απαλλαγής.</w:t>
      </w:r>
    </w:p>
    <w:p>
      <w:pPr>
        <w:spacing w:before="240" w:after="240"/>
        <w:rPr>
          <w:lang w:val="el" w:eastAsia="el"/>
        </w:rPr>
      </w:pPr>
      <w:r>
        <w:rPr>
          <w:lang w:val="el" w:eastAsia="el"/>
        </w:rPr>
        <w:t xml:space="preserve">Ειδικότερα, με τις διατάξεις του </w:t>
      </w:r>
      <w:r>
        <w:rPr>
          <w:b/>
          <w:bCs/>
          <w:lang w:val="el" w:eastAsia="el"/>
        </w:rPr>
        <w:t xml:space="preserve">άρθρου 2 </w:t>
      </w:r>
      <w:r>
        <w:rPr>
          <w:lang w:val="el" w:eastAsia="el"/>
        </w:rPr>
        <w:t>της εν λόγω Απόφασης ορίζεται ότι στα δικαιούχα πρόσωπα εμπίπτουν οι πολύτεκνοι γονείς και οι γονείς με τρία τέκνα, οι οποίοι είναι: α) Έλληνες πολίτες που διαμένουν μόνιμα στην Ελλάδα, β) ομογενείς αλλοδαπής υπηκοότητας που διαμένουν μόνιμα στην Ελλάδα, γ) πολίτες άλλων κρατών μελών της Ευρωπαϊκής Ένωσης που διαμένουν μόνιμα στην Ελλάδα, δ) πολίτες άλλων κρατών που διαμένουν νόμιμα και μόνιμα στην Ελλάδα και είναι γονείς τέκνων ελληνικής υπηκοότητας.</w:t>
      </w:r>
    </w:p>
    <w:p>
      <w:pPr>
        <w:spacing w:before="240" w:after="240"/>
        <w:rPr>
          <w:lang w:val="el" w:eastAsia="el"/>
        </w:rPr>
      </w:pPr>
      <w:r>
        <w:rPr>
          <w:lang w:val="el" w:eastAsia="el"/>
        </w:rPr>
        <w:t xml:space="preserve">Σύμφωνα με την παράγραφο 2 του ιδίου άρθρου, η απαλλαγή από το τέλος ταξινόμησης γονέων με τρία τέκνα παρέχεται για </w:t>
      </w:r>
      <w:r>
        <w:rPr>
          <w:b/>
          <w:bCs/>
          <w:lang w:val="el" w:eastAsia="el"/>
        </w:rPr>
        <w:t>μία μόνο φορά και για ένα αυτοκίνητο ανά οικογένεια</w:t>
      </w:r>
      <w:r>
        <w:rPr>
          <w:lang w:val="el" w:eastAsia="el"/>
        </w:rPr>
        <w:t>.</w:t>
      </w:r>
    </w:p>
    <w:p>
      <w:pPr>
        <w:spacing w:before="240" w:after="240"/>
        <w:rPr>
          <w:lang w:val="el" w:eastAsia="el"/>
        </w:rPr>
      </w:pPr>
      <w:r>
        <w:rPr>
          <w:lang w:val="el" w:eastAsia="el"/>
        </w:rPr>
        <w:t xml:space="preserve">Με τη διάταξη της παραγράφου 3 του ιδίου άρθρου ορίζεται ότι η απαλλαγή από το τέλος ταξινόμησης πολύτεκνων γονέων παρέχεται για </w:t>
      </w:r>
      <w:r>
        <w:rPr>
          <w:b/>
          <w:bCs/>
          <w:lang w:val="el" w:eastAsia="el"/>
        </w:rPr>
        <w:t>δεύτερη και τελευταία φορά</w:t>
      </w:r>
      <w:r>
        <w:rPr>
          <w:lang w:val="el" w:eastAsia="el"/>
        </w:rPr>
        <w:t xml:space="preserve">, </w:t>
      </w:r>
      <w:r>
        <w:rPr>
          <w:b/>
          <w:bCs/>
          <w:lang w:val="el" w:eastAsia="el"/>
        </w:rPr>
        <w:t>μετά την πάροδο πέντε (5) ετών από την ημερομηνία χρήσης του δικαιώματος αυτού</w:t>
      </w:r>
      <w:r>
        <w:rPr>
          <w:lang w:val="el" w:eastAsia="el"/>
        </w:rPr>
        <w:t xml:space="preserve">, εφόσον από το πιστοποιητικό οικογενειακής κατάστασης προκύπτει ότι οι ενδιαφερόμενοι πολύτεκνοι γονείς έχουν κατά τον τελωνισμό του αυτοκινήτου </w:t>
      </w:r>
      <w:r>
        <w:rPr>
          <w:b/>
          <w:bCs/>
          <w:lang w:val="el" w:eastAsia="el"/>
        </w:rPr>
        <w:t>τουλάχιστον τέσσερα (4) ανήλικα τέκνα.</w:t>
      </w:r>
    </w:p>
    <w:p>
      <w:pPr>
        <w:spacing w:before="240" w:after="240"/>
        <w:rPr>
          <w:lang w:val="el" w:eastAsia="el"/>
        </w:rPr>
      </w:pPr>
      <w:r>
        <w:rPr>
          <w:lang w:val="el" w:eastAsia="el"/>
        </w:rPr>
        <w:t xml:space="preserve">Τέλος, σύμφωνα με την παράγραφο 4 του ως άνω άρθρου η απαλλαγή από το τέλος ταξινόμησης </w:t>
      </w:r>
      <w:r>
        <w:rPr>
          <w:b/>
          <w:bCs/>
          <w:lang w:val="el" w:eastAsia="el"/>
        </w:rPr>
        <w:t>πολύτεκνων γονέων παρέχεται και στους γονείς, οι οποίοι προτού καταστούν πολύτεκνοι είχαν υπαχθεί στις διατάξεις απαλλαγής από το τέλος ταξινόμησης γονέων με τρία τέκνα.</w:t>
      </w:r>
    </w:p>
    <w:p>
      <w:pPr>
        <w:spacing w:before="240" w:after="240"/>
        <w:rPr>
          <w:lang w:val="el" w:eastAsia="el"/>
        </w:rPr>
      </w:pPr>
      <w:r>
        <w:rPr>
          <w:lang w:val="el" w:eastAsia="el"/>
        </w:rPr>
        <w:t xml:space="preserve">Με τις διατάξεις του </w:t>
      </w:r>
      <w:r>
        <w:rPr>
          <w:b/>
          <w:bCs/>
          <w:lang w:val="el" w:eastAsia="el"/>
        </w:rPr>
        <w:t xml:space="preserve">άρθρου 3 </w:t>
      </w:r>
      <w:r>
        <w:rPr>
          <w:lang w:val="el" w:eastAsia="el"/>
        </w:rPr>
        <w:t xml:space="preserve">ορίζονται τα κατά περίπτωση απαιτούμενα </w:t>
      </w:r>
      <w:r>
        <w:rPr>
          <w:b/>
          <w:bCs/>
          <w:lang w:val="el" w:eastAsia="el"/>
        </w:rPr>
        <w:t xml:space="preserve">δικαιολογητικά </w:t>
      </w:r>
      <w:r>
        <w:rPr>
          <w:lang w:val="el" w:eastAsia="el"/>
        </w:rPr>
        <w:t>για την χορήγηση της απαλλαγής από το τέλος ταξινόμησης συμπεριλαμβανομένων των πιστοποιητικών / δικαιολογητικών, από τα οποία τεκμαίρεται η ιδιότητα των «προστατευόμενων τέκνων» για τη χορήγηση της εν λόγω απαλλαγής. Επισημαίνεται ότι στις περιπτώσεις των εισαγομένων από τρίτες χώρες επιβατικών αυτοκινήτων για την υποβολή του τελωνειακού παραστατικού εισαγωγής (ΕΔΕ) απαιτείται η ύπαρξη αριθμού EORI και των δύο δικαιούχων της απαλλαγής γονέων, ενώ για τα προερχόμενα από άλλο κράτος μέλος επιβατικά αυτοκίνητα απαιτείται αντίστοιχα ο Αριθμός Φορολογικού Μητρώου (ΑΦΜ) και των δύο δικαιούχων γονέων.</w:t>
      </w:r>
    </w:p>
    <w:p>
      <w:pPr>
        <w:spacing w:before="240" w:after="240"/>
        <w:rPr>
          <w:lang w:val="el" w:eastAsia="el"/>
        </w:rPr>
      </w:pPr>
      <w:r>
        <w:rPr>
          <w:lang w:val="el" w:eastAsia="el"/>
        </w:rPr>
        <w:t xml:space="preserve">Με τις διατάξεις του </w:t>
      </w:r>
      <w:r>
        <w:rPr>
          <w:b/>
          <w:bCs/>
          <w:lang w:val="el" w:eastAsia="el"/>
        </w:rPr>
        <w:t xml:space="preserve">άρθρου 4 </w:t>
      </w:r>
      <w:r>
        <w:rPr>
          <w:lang w:val="el" w:eastAsia="el"/>
        </w:rPr>
        <w:t xml:space="preserve">ορίζονται οι διαδικασίες </w:t>
      </w:r>
      <w:r>
        <w:rPr>
          <w:b/>
          <w:bCs/>
          <w:lang w:val="el" w:eastAsia="el"/>
        </w:rPr>
        <w:t xml:space="preserve">τελωνειακής παρακολούθησης και αποδέσμευσης </w:t>
      </w:r>
      <w:r>
        <w:rPr>
          <w:lang w:val="el" w:eastAsia="el"/>
        </w:rPr>
        <w:t xml:space="preserve">των αυτοκινήτων που έχουν παραληφθεί με τις εν λόγω διατάξεις απαλλαγής του τέλους ταξινόμησης. Ειδικότερα για την τελωνειακή παρακολούθηση των εν λόγω αυτοκινήτων ισχύει </w:t>
      </w:r>
      <w:r>
        <w:rPr>
          <w:b/>
          <w:bCs/>
          <w:lang w:val="el" w:eastAsia="el"/>
        </w:rPr>
        <w:t xml:space="preserve">περιοριστικό διάστημα τριών (3) ετών </w:t>
      </w:r>
      <w:r>
        <w:rPr>
          <w:lang w:val="el" w:eastAsia="el"/>
        </w:rPr>
        <w:t>από την ημερομηνία παραλαβής τους, εντός του οποίου απαγορεύεται η μεταβίβαση, μίσθωση ή με οποιονδήποτε άλλο τρόπο παραχώρηση της χρήσης. Συνεπώς, στα εκδιδόμενα από την αρμόδια Τελωνειακή Αρχή τελωνισμού πιστοποιητικά ταξινόμησης αναγράφεται ρητά η απαγόρευση μεταβίβασης, μίσθωσης ή με οποιονδήποτε τρόπο παραχώρησης της χρήσης του αυτοκινήτου πριν από τη συμπλήρωση τριών (3) ετών από την παραλαβή του. Σε περίπτωση μεταβίβασης, μίσθωσης ή παραχώρησης με οποιονδήποτε τρόπο της χρήσης του αυτοκινήτου πριν από τη συμπλήρωση τριών (3) ετών από την παραλαβή του, εισπράττεται το τέλος ταξινόμησης που αναλογεί κατά το χρόνο της μεταβίβασης ή η διαφορά μεταξύ του τέλους αυτού και του τέλους ταξινόμησης που έχει καταβληθεί. Aν η μεταβίβαση, μίσθωση ή παραχώρηση της χρήσης γίνει χωρίς την άδεια της Τελωνειακής Αρχής, εισπράττεται το αναλογούν τέλος ταξινόμησης, καθώς και πρόσθετο τέλος ίσο με το ένα τέταρτο (1/4) του ακέραιου συντελεστή του τέλους ταξινόμησης που αναλογεί. Μετά την παρέλευση τριών (3) ετών από την ημερομηνία παραλαβής του αυτοκινήτου, το αυτοκίνητο μπορεί να μεταβιβαστεί χωρίς την άδεια της Τελωνειακής Αρχής.</w:t>
      </w:r>
    </w:p>
    <w:p>
      <w:pPr>
        <w:spacing w:before="240" w:after="240"/>
        <w:rPr>
          <w:lang w:val="el" w:eastAsia="el"/>
        </w:rPr>
      </w:pPr>
      <w:r>
        <w:rPr>
          <w:lang w:val="el" w:eastAsia="el"/>
        </w:rPr>
        <w:t>Συνεπώς, με γνώμονα την πλήρη διασφάλιση των συμφερόντων του Δημοσίου εφιστάται η προσοχή στην πιστή τήρηση των ανωτέρω διατάξεων, σε συνδυασμό και με τα οριζόμενα στο άρθρο 132 παράγραφος 6 του ν. 2960/01 «Εθνικός Τελωνειακός Κώδικας» (ΦΕΚ 265/Α΄), όπως ισχύει, αναφορικά με την τελωνειακή αποδέσμευση των αυτοκινήτων που έχουν παραληφθεί με απαλλαγή από το τέλος ταξινόμησης.</w:t>
      </w:r>
    </w:p>
    <w:p>
      <w:pPr>
        <w:spacing w:before="240" w:after="240"/>
        <w:rPr>
          <w:lang w:val="el" w:eastAsia="el"/>
        </w:rPr>
      </w:pPr>
      <w:r>
        <w:rPr>
          <w:lang w:val="el" w:eastAsia="el"/>
        </w:rPr>
        <w:t xml:space="preserve">Τέλος, με τις διατάξεις του </w:t>
      </w:r>
      <w:r>
        <w:rPr>
          <w:b/>
          <w:bCs/>
          <w:lang w:val="el" w:eastAsia="el"/>
        </w:rPr>
        <w:t xml:space="preserve">άρθρου 6 </w:t>
      </w:r>
      <w:r>
        <w:rPr>
          <w:lang w:val="el" w:eastAsia="el"/>
        </w:rPr>
        <w:t>της κοινοποιούμενης Απόφασης προβλέπεται ότι σε περίπτωση ολικής καταστροφής του αυτοκινήτου παρέχεται στους δικαιούχους η δυνατότητα αντικατάστασής του με απαλλαγή από το τέλος ταξινόμησης. Συγκεκριμένα, η αντικατάσταση του αυτοκινήτου λόγω ολικής καταστροφής χορηγείται από την αρμόδια Τελωνειακή Αρχή για μία μόνο φορά ανά οικογένεια, με την τήρηση κατά τα λοιπά των όρων και προϋποθέσεων που ισχύουν για την υπαγωγή των ενδιαφερομένων στις διατάξεις των πολυτέκνων γονέων ή των γονέων με τρία τέκνα και με την υποβολή των κατά περίπτωση προβλεπόμενων δικαιολογητικών.</w:t>
      </w:r>
    </w:p>
    <w:p>
      <w:pPr>
        <w:spacing w:before="240" w:after="240"/>
        <w:rPr>
          <w:lang w:val="el" w:eastAsia="el"/>
        </w:rPr>
      </w:pPr>
      <w:r>
        <w:rPr>
          <w:lang w:val="el" w:eastAsia="el"/>
        </w:rPr>
        <w:t xml:space="preserve">Η ισχύς της κοινοποιούμενης Απόφασης αρχίζει από τη δημοσίευσή της στην Εφημερίδα της Κυβερνήσεως στις </w:t>
      </w:r>
      <w:r>
        <w:rPr>
          <w:b/>
          <w:bCs/>
          <w:lang w:val="el" w:eastAsia="el"/>
        </w:rPr>
        <w:t>22-2-2017</w:t>
      </w:r>
      <w:r>
        <w:rPr>
          <w:lang w:val="el" w:eastAsia="el"/>
        </w:rPr>
        <w:t>.</w:t>
      </w:r>
    </w:p>
    <w:p>
      <w:pPr>
        <w:spacing w:before="240" w:after="240"/>
        <w:rPr>
          <w:lang w:val="el" w:eastAsia="el"/>
        </w:rPr>
      </w:pPr>
      <w:r>
        <w:rPr>
          <w:b/>
          <w:bCs/>
          <w:lang w:val="el" w:eastAsia="el"/>
        </w:rPr>
        <w:t>O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lang w:val="el" w:eastAsia="el"/>
        </w:rPr>
        <w:t>1. Τελωνειακές Περιφέρειες (για άμεση ενημέρωση των τελωνείων αρμοδιότητάς τους)</w:t>
      </w:r>
    </w:p>
    <w:p>
      <w:pPr>
        <w:spacing w:before="240" w:after="240"/>
        <w:rPr>
          <w:lang w:val="el" w:eastAsia="el"/>
        </w:rPr>
      </w:pPr>
      <w:r>
        <w:rPr>
          <w:lang w:val="el" w:eastAsia="el"/>
        </w:rPr>
        <w:t>2. Όλες οι Τελωνειακές Αρχές</w:t>
      </w:r>
    </w:p>
    <w:p>
      <w:pPr>
        <w:spacing w:before="240" w:after="240"/>
        <w:rPr>
          <w:lang w:val="el" w:eastAsia="el"/>
        </w:rPr>
      </w:pPr>
      <w:r>
        <w:rPr>
          <w:lang w:val="el" w:eastAsia="el"/>
        </w:rPr>
        <w:t>3. Διεύθυνση Υποστήριξης Ηλεκτρονικών Υπηρεσιών (για ενημέρωση της «Ηλεκτρονικής Βιβλιοθήκης»)</w:t>
      </w:r>
    </w:p>
    <w:p>
      <w:pPr>
        <w:spacing w:before="240" w:after="240"/>
        <w:rPr>
          <w:lang w:val="el" w:eastAsia="el"/>
        </w:rPr>
      </w:pPr>
      <w:r>
        <w:rPr>
          <w:lang w:val="el" w:eastAsia="el"/>
        </w:rPr>
        <w:t>Email:</w:t>
      </w:r>
      <w:hyperlink r:id="rId4" w:history="1">
        <w:r>
          <w:rPr>
            <w:rStyle w:val="Hyperlink"/>
            <w:color w:val="0000EE"/>
            <w:u w:color="0000EE"/>
            <w:lang w:val="el" w:eastAsia="el"/>
          </w:rPr>
          <w:t>siteadmin@gsis.gr</w:t>
        </w:r>
      </w:hyperlink>
      <w:r>
        <w:rPr>
          <w:lang w:val="el" w:eastAsia="el"/>
        </w:rPr>
        <w:t>.</w:t>
      </w:r>
    </w:p>
    <w:p>
      <w:pPr>
        <w:spacing w:before="240" w:after="240"/>
        <w:rPr>
          <w:lang w:val="el" w:eastAsia="el"/>
        </w:rPr>
      </w:pPr>
      <w:r>
        <w:rPr>
          <w:lang w:val="el" w:eastAsia="el"/>
        </w:rPr>
        <w:t>4. Δ/νση Ηλεκτρονικού Τελωνείου (για την ανάρτηση στο portal του ICISnet)</w:t>
      </w:r>
    </w:p>
    <w:p>
      <w:pPr>
        <w:spacing w:before="240" w:after="240"/>
        <w:rPr>
          <w:lang w:val="el" w:eastAsia="el"/>
        </w:rPr>
      </w:pPr>
      <w:r>
        <w:rPr>
          <w:lang w:val="el" w:eastAsia="el"/>
        </w:rPr>
        <w:t>Email:</w:t>
      </w:r>
      <w:hyperlink r:id="rId5" w:history="1">
        <w:r>
          <w:rPr>
            <w:rStyle w:val="Hyperlink"/>
            <w:color w:val="0000EE"/>
            <w:u w:color="0000EE"/>
            <w:lang w:val="el" w:eastAsia="el"/>
          </w:rPr>
          <w:t>e.andreopoulou@1926.syzefxis.gov.gr</w:t>
        </w:r>
      </w:hyperlink>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Υπηρεσία Ερευνών και Διασφάλισης Δημοσίων Εσόδων (Υ.Ε.Δ.Δ.Ε.)</w:t>
      </w:r>
    </w:p>
    <w:p>
      <w:pPr>
        <w:spacing w:before="240" w:after="240"/>
        <w:rPr>
          <w:lang w:val="el" w:eastAsia="el"/>
        </w:rPr>
      </w:pPr>
      <w:r>
        <w:rPr>
          <w:lang w:val="el" w:eastAsia="el"/>
        </w:rPr>
        <w:t>2. Δ/νση Εσωτερικού Ελέγχου (Τμήματα Α΄, Β΄, Γ΄, Δ΄)</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Διεύθυνση Νομικής Υποστήριξης της Γ.Γ.Δ.Ε.</w:t>
      </w:r>
    </w:p>
    <w:p>
      <w:pPr>
        <w:spacing w:before="240" w:after="240"/>
        <w:rPr>
          <w:lang w:val="el" w:eastAsia="el"/>
        </w:rPr>
      </w:pPr>
      <w:r>
        <w:rPr>
          <w:lang w:val="el" w:eastAsia="el"/>
        </w:rPr>
        <w:t>5. Γενική Διεύθυνση Ηλεκτρονικής Διακυβέρνησης και Ανθρώπινου Δυναμικού</w:t>
      </w:r>
    </w:p>
    <w:p>
      <w:pPr>
        <w:pStyle w:val="StructureList1"/>
        <w:spacing w:before="120" w:after="0"/>
        <w:rPr>
          <w:lang w:val="el" w:eastAsia="el"/>
        </w:rPr>
      </w:pPr>
      <w:r>
        <w:rPr>
          <w:lang w:val="el" w:eastAsia="el"/>
        </w:rPr>
        <w:t>α)</w:t>
      </w:r>
      <w:r>
        <w:rPr>
          <w:lang w:val="en" w:eastAsia="en"/>
        </w:rPr>
        <w:tab/>
      </w:r>
      <w:r>
        <w:rPr>
          <w:lang w:val="el" w:eastAsia="el"/>
        </w:rPr>
        <w:t>Διεύθυνση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Διεύθυνση Οργάνωσης- Τμήμα Β΄</w:t>
      </w:r>
    </w:p>
    <w:p>
      <w:pPr>
        <w:pStyle w:val="StructureList1"/>
        <w:spacing w:before="120" w:after="0"/>
        <w:rPr>
          <w:lang w:val="el" w:eastAsia="el"/>
        </w:rPr>
      </w:pPr>
      <w:r>
        <w:rPr>
          <w:lang w:val="el" w:eastAsia="el"/>
        </w:rPr>
        <w:t>γ)</w:t>
      </w:r>
      <w:r>
        <w:rPr>
          <w:lang w:val="en" w:eastAsia="en"/>
        </w:rPr>
        <w:tab/>
      </w:r>
      <w:r>
        <w:rPr>
          <w:lang w:val="el" w:eastAsia="el"/>
        </w:rPr>
        <w:t>Δ/νση Ηλεκτρονικής Διακυβέρνησης Γ.Γ.Δ.Ε.</w:t>
      </w:r>
    </w:p>
    <w:p>
      <w:pPr>
        <w:pStyle w:val="StructureList1"/>
        <w:spacing w:before="120" w:after="0"/>
        <w:rPr>
          <w:lang w:val="el" w:eastAsia="el"/>
        </w:rPr>
      </w:pPr>
      <w:r>
        <w:rPr>
          <w:lang w:val="el" w:eastAsia="el"/>
        </w:rPr>
        <w:t>δ)</w:t>
      </w:r>
      <w:r>
        <w:rPr>
          <w:lang w:val="en" w:eastAsia="en"/>
        </w:rPr>
        <w:tab/>
      </w:r>
      <w:r>
        <w:rPr>
          <w:lang w:val="el" w:eastAsia="el"/>
        </w:rPr>
        <w:t>Δ/νση Υποστήριξης Ηλεκτρονικών Υπηρεσιών</w:t>
      </w:r>
    </w:p>
    <w:p>
      <w:pPr>
        <w:spacing w:before="240" w:after="240"/>
        <w:rPr>
          <w:lang w:val="el" w:eastAsia="el"/>
        </w:rPr>
      </w:pPr>
      <w:r>
        <w:rPr>
          <w:lang w:val="el" w:eastAsia="el"/>
        </w:rPr>
        <w:t>6. Γενική Διεύθυνση Τελωνείων &amp; ΕΦΚ</w:t>
      </w:r>
    </w:p>
    <w:p>
      <w:pPr>
        <w:pStyle w:val="StructureList1"/>
        <w:spacing w:before="120" w:after="0"/>
        <w:rPr>
          <w:lang w:val="el" w:eastAsia="el"/>
        </w:rPr>
      </w:pPr>
      <w:r>
        <w:rPr>
          <w:lang w:val="el" w:eastAsia="el"/>
        </w:rPr>
        <w:t>α)</w:t>
      </w:r>
      <w:r>
        <w:rPr>
          <w:lang w:val="en" w:eastAsia="en"/>
        </w:rPr>
        <w:tab/>
      </w:r>
      <w:r>
        <w:rPr>
          <w:lang w:val="el" w:eastAsia="el"/>
        </w:rPr>
        <w:t>Ελεγκτική Υπηρεσία Τελωνείων (ΕΛ.Υ.Τ.) Αττικής</w:t>
      </w:r>
    </w:p>
    <w:p>
      <w:pPr>
        <w:pStyle w:val="StructureList1"/>
        <w:spacing w:before="120" w:after="0"/>
        <w:rPr>
          <w:lang w:val="el" w:eastAsia="el"/>
        </w:rPr>
      </w:pPr>
      <w:r>
        <w:rPr>
          <w:lang w:val="el" w:eastAsia="el"/>
        </w:rPr>
        <w:t>β)</w:t>
      </w:r>
      <w:r>
        <w:rPr>
          <w:lang w:val="en" w:eastAsia="en"/>
        </w:rPr>
        <w:tab/>
      </w:r>
      <w:r>
        <w:rPr>
          <w:lang w:val="el" w:eastAsia="el"/>
        </w:rPr>
        <w:t>Ελεγκτική Υπηρεσία Τελωνείων (ΕΛ.Υ.Τ.) Θεσσαλονίκης</w:t>
      </w:r>
    </w:p>
    <w:p>
      <w:pPr>
        <w:spacing w:before="240" w:after="240"/>
        <w:rPr>
          <w:lang w:val="el" w:eastAsia="el"/>
        </w:rPr>
      </w:pPr>
      <w:r>
        <w:rPr>
          <w:lang w:val="el" w:eastAsia="el"/>
        </w:rPr>
        <w:t>7. Σ.Δ.Ο.Ε. –Κεντρική Υπηρεσία</w:t>
      </w:r>
    </w:p>
    <w:p>
      <w:pPr>
        <w:spacing w:before="240" w:after="240"/>
        <w:rPr>
          <w:lang w:val="el" w:eastAsia="el"/>
        </w:rPr>
      </w:pPr>
      <w:r>
        <w:rPr>
          <w:lang w:val="el" w:eastAsia="el"/>
        </w:rPr>
        <w:t>8. Περιφερειακές Δ/νσεις Σ.Δ.Ο.Ε.</w:t>
      </w:r>
    </w:p>
    <w:p>
      <w:pPr>
        <w:spacing w:before="240" w:after="240"/>
        <w:rPr>
          <w:lang w:val="el" w:eastAsia="el"/>
        </w:rPr>
      </w:pPr>
      <w:r>
        <w:rPr>
          <w:lang w:val="el" w:eastAsia="el"/>
        </w:rPr>
        <w:t>9. Ομοσπονδία Εκτελωνιστών Ελλάδος</w:t>
      </w:r>
    </w:p>
    <w:p>
      <w:pPr>
        <w:spacing w:before="240" w:after="240"/>
        <w:rPr>
          <w:lang w:val="el" w:eastAsia="el"/>
        </w:rPr>
      </w:pPr>
      <w:r>
        <w:rPr>
          <w:lang w:val="el" w:eastAsia="el"/>
        </w:rPr>
        <w:t>Καραΐσκου 38 - 185 32 ΠΕΙΡΑΙΑΣ</w:t>
      </w:r>
    </w:p>
    <w:p>
      <w:pPr>
        <w:spacing w:before="240" w:after="240"/>
        <w:rPr>
          <w:lang w:val="el" w:eastAsia="el"/>
        </w:rPr>
      </w:pPr>
      <w:r>
        <w:rPr>
          <w:lang w:val="el" w:eastAsia="el"/>
        </w:rPr>
        <w:t>10. Σύλλογος Εκτελωνιστών Αθηνών – Πειραιά</w:t>
      </w:r>
    </w:p>
    <w:p>
      <w:pPr>
        <w:spacing w:before="240" w:after="240"/>
        <w:rPr>
          <w:lang w:val="el" w:eastAsia="el"/>
        </w:rPr>
      </w:pPr>
      <w:r>
        <w:rPr>
          <w:lang w:val="el" w:eastAsia="el"/>
        </w:rPr>
        <w:t>Τσαμαδού 38 - 185 31 ΠΕΙΡΑΙΑΣ</w:t>
      </w:r>
    </w:p>
    <w:p>
      <w:pPr>
        <w:spacing w:before="240" w:after="240"/>
        <w:rPr>
          <w:lang w:val="el" w:eastAsia="el"/>
        </w:rPr>
      </w:pPr>
      <w:r>
        <w:rPr>
          <w:lang w:val="el" w:eastAsia="el"/>
        </w:rPr>
        <w:t>11. Σύλλογος Εκτελωνιστών Θεσ/νίκης</w:t>
      </w:r>
    </w:p>
    <w:p>
      <w:pPr>
        <w:spacing w:before="240" w:after="240"/>
        <w:rPr>
          <w:lang w:val="el" w:eastAsia="el"/>
        </w:rPr>
      </w:pPr>
      <w:r>
        <w:rPr>
          <w:lang w:val="el" w:eastAsia="el"/>
        </w:rPr>
        <w:t>Κουντουριώτου 13 -543 25 Θεσ/νίκη</w:t>
      </w:r>
    </w:p>
    <w:p>
      <w:pPr>
        <w:spacing w:before="240" w:after="240"/>
        <w:rPr>
          <w:lang w:val="el" w:eastAsia="el"/>
        </w:rPr>
      </w:pPr>
      <w:r>
        <w:rPr>
          <w:lang w:val="el" w:eastAsia="el"/>
        </w:rPr>
        <w:t xml:space="preserve">5. Διεύθυνση Υποστήριξης Ηλεκτρονικών Υπηρεσιών για ανάρτηση στην ιστοσελίδα της ΓΓΔΕ </w:t>
      </w:r>
      <w:hyperlink r:id="rId6" w:history="1">
        <w:r>
          <w:rPr>
            <w:rStyle w:val="Hyperlink"/>
            <w:color w:val="0000EE"/>
            <w:u w:color="0000EE"/>
            <w:lang w:val="el" w:eastAsia="el"/>
          </w:rPr>
          <w:t>(siteadmin@ gsis.gr</w:t>
        </w:r>
        <w:r>
          <w:rPr>
            <w:rStyle w:val="Hyperlink"/>
            <w:color w:val="0000EE"/>
            <w:u w:color="0000EE"/>
            <w:lang w:val="el" w:eastAsia="el"/>
          </w:rPr>
          <w:t>)</w:t>
        </w:r>
      </w:hyperlink>
    </w:p>
    <w:p>
      <w:pPr>
        <w:spacing w:before="240" w:after="240"/>
        <w:rPr>
          <w:lang w:val="el" w:eastAsia="el"/>
        </w:rPr>
      </w:pPr>
      <w:r>
        <w:rPr>
          <w:lang w:val="el" w:eastAsia="el"/>
        </w:rPr>
        <w:t>6. Αποδέκτες Πίνακα Η (Σύλλογοι Λογιστών και Εκτελωνιστών)</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Υπουργού Οικονομικών κ. Ευκ. Τσακαλώτου</w:t>
      </w:r>
    </w:p>
    <w:p>
      <w:pPr>
        <w:spacing w:before="240" w:after="240"/>
        <w:rPr>
          <w:lang w:val="el" w:eastAsia="el"/>
        </w:rPr>
      </w:pPr>
      <w:r>
        <w:rPr>
          <w:lang w:val="el" w:eastAsia="el"/>
        </w:rPr>
        <w:t>2. Γραφείο Υφυπουργού Οικονομικών κας Κ. Παπανάτσιου</w:t>
      </w:r>
    </w:p>
    <w:p>
      <w:pPr>
        <w:spacing w:before="240" w:after="240"/>
        <w:rPr>
          <w:lang w:val="el" w:eastAsia="el"/>
        </w:rPr>
      </w:pPr>
      <w:r>
        <w:rPr>
          <w:lang w:val="el" w:eastAsia="el"/>
        </w:rPr>
        <w:t>3. Γραφείο Διοικητή Ανεξάρτητης Αρχής Δημοσίων Εσόδων κ. Γ. Πιτσιλή</w:t>
      </w:r>
    </w:p>
    <w:p>
      <w:pPr>
        <w:spacing w:before="240" w:after="240"/>
        <w:rPr>
          <w:lang w:val="el" w:eastAsia="el"/>
        </w:rPr>
      </w:pPr>
      <w:r>
        <w:rPr>
          <w:lang w:val="el" w:eastAsia="el"/>
        </w:rPr>
        <w:t>4. Γραφείο Γενικής Δ/ντριας Τελωνείων και Ε.Φ.Κ. κ. Ε. Γιαλούρη</w:t>
      </w:r>
    </w:p>
    <w:p>
      <w:pPr>
        <w:spacing w:before="240" w:after="240"/>
        <w:rPr>
          <w:lang w:val="el" w:eastAsia="el"/>
        </w:rPr>
      </w:pPr>
      <w:r>
        <w:rPr>
          <w:lang w:val="el" w:eastAsia="el"/>
        </w:rPr>
        <w:t>5. Δ/νσεις ΑΑΔΕ: ΔΤΔ, ΔΔΘΤΟΚ, ΔΣΤΕΠ, ΔΗΤ, ΔΕΦΚ</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iteadmin@gsis.gr" TargetMode="External" /><Relationship Id="rId5" Type="http://schemas.openxmlformats.org/officeDocument/2006/relationships/hyperlink" Target="mailto:e.andreopoulou@1926.syzefxis.gov.gr" TargetMode="External" /><Relationship Id="rId6" Type="http://schemas.openxmlformats.org/officeDocument/2006/relationships/hyperlink" Target="mailto:siteadmin@gsis.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