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 73ΙΨΗ-ΦΟ5</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Β.Μ. Τουζένη</w:t>
      </w:r>
    </w:p>
    <w:p>
      <w:pPr>
        <w:spacing w:before="240" w:after="240"/>
        <w:rPr>
          <w:lang w:val="el" w:eastAsia="el"/>
        </w:rPr>
      </w:pPr>
      <w:r>
        <w:rPr>
          <w:lang w:val="el" w:eastAsia="el"/>
        </w:rPr>
        <w:t>Τηλέφωνο : 210 – 3375318</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Θέμα: Παροχή οδηγιών για την εφαρμογή των διατάξεων της παρ. 2 του άρθρου 13 του ν. 4172/2013, όπως αντικαταστάθηκε με την παρ. 1 του άρθρου 99 του ν.4446/2016 (Α΄ 240) για την παροχή σε είδος εταιρικού οχήματος.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1 του άρθρου 99 του ν.4446/2016 (ΦΕΚΑ΄ 240/22-12-2016) αντικαταστάθηκε η παράγραφος 2 του άρθρου 13 του ν. 4172/2013 και ορίσθηκε νέος τρόπος υπολογισμού της αξίας της παροχής σε είδος, ο οποίος υπολογίζεται ως ποσοστό της Λιανικής Τιμής προ Φόρων (ΛΤΠΦ) του οχήματος που παρέχεται. Πιο συγκεκριμένα,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ΛΤΠΦ του οχήματος με βάση την κλίμακα που ορίζει η εν λόγω διάταξη. Η Λιανική Τιμή προ Φόρων οχήματος κατά τύπο, παραλλαγή και έκδοση αυτού, είναι η τιμή που προκύπτει από τους υποβαλλόμενους τιμοκαταλόγους στην Αρμόδια Τελωνειακή Αρχή από τους επίσημους αντιπροσώπους/διανομείς αυτοκινήτων, συμπεριλαμβανομένης και της αξίας του προαιρετικού (EXTRA) εξοπλισμού, προ Φ.Π.Α. και τέλους ταξινόμησης και αναγράφεται στη «Βεβαίωση Ανώτατης προτεινόμενης Λιανικής Τιμής προ Φόρων» που</w:t>
      </w:r>
    </w:p>
    <w:p>
      <w:pPr>
        <w:spacing w:before="240" w:after="240"/>
        <w:rPr>
          <w:lang w:val="el" w:eastAsia="el"/>
        </w:rPr>
      </w:pPr>
      <w:r>
        <w:rPr>
          <w:lang w:val="el" w:eastAsia="el"/>
        </w:rPr>
        <w:t>χορηγείται σχετικά από τους τελευταίους. Σε περίπτωση που ο επίσημος αντιπρόσωπος/διανομέας δεν δύναται να χορηγήσει τη σχετική βεβαίωση, η ΛΤΠΦ λαμβάνεται εναλλακτικά από την αναγραφόμενη στα οικεία παραστατικά πώλησης αξία, προ Φ.Π.Α. και τέλους ταξινόμησης, μη συνυπολογιζομένων τυχόν εκπτώσεων που έχουν χορηγηθεί.</w:t>
      </w:r>
    </w:p>
    <w:p>
      <w:pPr>
        <w:spacing w:before="240" w:after="240"/>
        <w:rPr>
          <w:lang w:val="el" w:eastAsia="el"/>
        </w:rPr>
      </w:pPr>
      <w:r>
        <w:rPr>
          <w:lang w:val="el" w:eastAsia="el"/>
        </w:rPr>
        <w:t>Με βάση την οριζόμενη κλίμακα από την παρ. 1 του άρθρου 99 του ν.4446/2016, η αξία της παραχώρησης ενός οχήματος υπολογίζεται ως ποσοστό στο σύνολο της ΛΤΠΦ και όχι κλιμακωτά, ξεκινώντας από το πρώτο κλιμάκιο με ΛΤΠΦ οχήματος έως 12.000 ευρώ και καταλήγοντας στην ανώτερη κλίμακα με ΛΤΠΦ άνω των 25.001 ευρώ. Επίσης, σε περίπτωση χρήσης εταιρικού οχήματος για χρονικό διάστημα μικρότερο του έτους (νέα πρόσληψη, αποχώρηση εργαζόμενου κτλ.), η αξία της παροχής υπολογίζεται αναλογικά με το χρονικό διάστημα (μήνες) χρησιμοποίησής της. Η διάρκεια χρήσης εταιρικού οχήματος από εργαζόμενο για διάστημα άνω των 15 ημερολογιακών ημερών λογίζεται ως μήνας.</w:t>
      </w:r>
    </w:p>
    <w:p>
      <w:pPr>
        <w:spacing w:before="240" w:after="240"/>
        <w:rPr>
          <w:lang w:val="el" w:eastAsia="el"/>
        </w:rPr>
      </w:pPr>
      <w:r>
        <w:rPr>
          <w:lang w:val="el" w:eastAsia="el"/>
        </w:rPr>
        <w:t>Για καλύτερη κατανόηση των ανωτέρω δίδεται το ακόλουθο παράδειγμα:</w:t>
      </w:r>
    </w:p>
    <w:p>
      <w:pPr>
        <w:spacing w:before="240" w:after="240"/>
        <w:rPr>
          <w:lang w:val="el" w:eastAsia="el"/>
        </w:rPr>
      </w:pPr>
      <w:r>
        <w:rPr>
          <w:lang w:val="el" w:eastAsia="el"/>
        </w:rPr>
        <w:t>Ένα όχημα έχει ΛΤΠΦ 15.000 ευρώ και παραχωρήθηκε η χρήση του σε έναν υπάλληλο/εταίρο/μέτοχο για 3 μήνες (π.χ. λόγω πρόσληψης μέσα στο έτος), τότε το ποσό της παροχής σε είδος που θα προσμετρηθεί στις αποδοχές του από μισθωτή εργασία σε ετήσια βάση, προσδιορίζεται με βάση την κλίμακα ως εξής: 15.000*7% = 1.050 ευρώ και επειδή η χρήση αφορά 3 μήνες είναι 1.050*3/12 = 262,50 ευρώ.</w:t>
      </w:r>
    </w:p>
    <w:p>
      <w:pPr>
        <w:spacing w:before="240" w:after="240"/>
        <w:rPr>
          <w:lang w:val="el" w:eastAsia="el"/>
        </w:rPr>
      </w:pPr>
      <w:r>
        <w:rPr>
          <w:lang w:val="el" w:eastAsia="el"/>
        </w:rPr>
        <w:t>Σύμφωνα με την παράγραφο 2 του άρθρου 13 του ν.4172/2013, το ποσοστό της Λιανικής Τιμής προ Φόρων δεν επιμερίζεται σε περισσότερα του ενός πρόσωπα. Συνεπώς, στο ανωτέρω παράδειγμα, αν το ίδιο όχημα είχε παραχωρηθεί ταυτόχρονα σε δύο υπαλλήλους/εταίρους/μετόχους κατά το ίδιο χρονικό διάστημα εντός του έτους, τότε το ποσό των 262,50 ευρώ θα είχε συμπεριληφθεί στις αποδοχές κάθε ενός ξεχωριστά, χωρίς να γίνει επιμερισμός αυτού.</w:t>
      </w:r>
    </w:p>
    <w:p>
      <w:pPr>
        <w:spacing w:before="240" w:after="240"/>
        <w:rPr>
          <w:lang w:val="el" w:eastAsia="el"/>
        </w:rPr>
      </w:pPr>
      <w:r>
        <w:rPr>
          <w:lang w:val="el" w:eastAsia="el"/>
        </w:rPr>
        <w:t>Η αξία της παροχής σε είδος μειώνεται από το τρίτο έτος κυκλοφορίας του οχήματος και μετά (παλαιότητα που προκύπτει από την άδεια κυκλοφορίας του διεθνώς) και σύμφωνα με την κλίμακα που ορίζει η διάταξη. Συνεπώς, τα οχήματα με ημερομηνία κυκλοφορίας έως και 2 έτη πριν από το κρινόμενο έτος δεν θα έχουν καμία μείωση στο ποσό της παροχής σε είδος, π.χ. αν το έτος κυκλοφορίας είναι το 2014, τότε μέχρι και το φορολογικό έτος 2016 (δηλαδή για τις δηλώσεις φορολογίας εισοδήματος που θα υποβληθούν το 2017) δεν θα υπάρχει μείωση.</w:t>
      </w:r>
    </w:p>
    <w:p>
      <w:pPr>
        <w:spacing w:before="240" w:after="240"/>
        <w:rPr>
          <w:lang w:val="el" w:eastAsia="el"/>
        </w:rPr>
      </w:pPr>
      <w:r>
        <w:rPr>
          <w:lang w:val="el" w:eastAsia="el"/>
        </w:rPr>
        <w:t>Για καλύτερη κατανόηση των ανωτέρω δίδεται το ακόλουθο παράδειγμα: Ένα όχημα έχει ΛΤΠΦ 20.000 ευρώ με έτος πρώτης κυκλοφορίας διεθνώς το 2013. Τότε η αξία της παροχής σε είδος θα είναι 20.000*14%= 2.800 ευρώ. Η αξία αυτή μειώνεται κατά 10% (για τρία έτη κυκλοφορίας συμπληρωμένα), δηλαδή η ετήσια παροχή σε είδος θα είναι τελικά 2.520 ευρώ (2.800*10% = 280 ευρώ, 2.800-280= 2.520 ευρώ), η οποία θα προσαυξήσει τις ετήσιες αποδοχές του φορολογικού έτους 2016, για τη δήλωση φορολογίας εισοδήματος που θα υποβληθεί το 2017.</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προ Φόρων έως 12.000 ευρώ. Αυτό σημαίνει ότι πρέπει να συντρέχουν ταυτόχρονα και οι δύο προϋποθέσεις για να ισχύει η εξαίρεση.</w:t>
      </w:r>
    </w:p>
    <w:p>
      <w:pPr>
        <w:spacing w:before="240" w:after="240"/>
        <w:rPr>
          <w:lang w:val="el" w:eastAsia="el"/>
        </w:rPr>
      </w:pPr>
      <w:r>
        <w:rPr>
          <w:lang w:val="el" w:eastAsia="el"/>
        </w:rPr>
        <w:t>Διευκρινίζεται ότι η χρήση ενός οχήματος για επαγγελματικούς σκοπούς αφορά τις κάτωθι περιπτώσεις:</w:t>
      </w:r>
    </w:p>
    <w:p>
      <w:pPr>
        <w:pStyle w:val="StructureList1"/>
        <w:spacing w:before="120" w:after="0"/>
        <w:rPr>
          <w:lang w:val="el" w:eastAsia="el"/>
        </w:rPr>
      </w:pPr>
      <w:r>
        <w:rPr>
          <w:lang w:val="el" w:eastAsia="el"/>
        </w:rPr>
        <w:t>α)</w:t>
      </w:r>
      <w:r>
        <w:rPr>
          <w:lang w:val="en" w:eastAsia="en"/>
        </w:rPr>
        <w:tab/>
      </w:r>
      <w:r>
        <w:rPr>
          <w:b/>
          <w:bCs/>
          <w:lang w:val="el" w:eastAsia="el"/>
        </w:rPr>
        <w:t>Τα οχήματα, τα οποία παρέχουν οι επιχειρήσεις σε συγκεκριμένους πωλητές, τεχνικούς και λοιπούς εργαζομένους, των οποίων η εργασία απαιτεί συχνή μετακίνηση εκτός των εγκαταστάσεων του εργοδότη (tool cars) και χρησιμοποιούνται για την επιχειρηματική δραστηριότητα του εργοδότη, ανεξάρτητα αν τα οχήματα αυτά μπορεί να χρησιμοποιούνται από τον δικαιούχο και εκτός του ωραρίου εργασίας τους. Αντιθέτως, καταλαμβάνεται και αποτελεί παροχή σε είδος η κατά τα ανωτέρω προσδιοριζόμενη αγοραία αξία των οχημάτων που παρέχονται στους εργαζόμενους λόγω της θέσης τους (π.χ. σε διευθυντές και επιθεωρητές πωλήσεων, τεχνικούς διευθυντές και λοιπά στελέχη),</w:t>
      </w:r>
    </w:p>
    <w:p>
      <w:pPr>
        <w:pStyle w:val="StructureList1"/>
        <w:spacing w:before="120" w:after="0"/>
        <w:rPr>
          <w:lang w:val="el" w:eastAsia="el"/>
        </w:rPr>
      </w:pPr>
      <w:r>
        <w:rPr>
          <w:b/>
          <w:bCs/>
          <w:lang w:val="el" w:eastAsia="el"/>
        </w:rPr>
        <w:t>β)</w:t>
      </w:r>
      <w:r>
        <w:rPr>
          <w:b/>
          <w:bCs/>
          <w:lang w:val="en" w:eastAsia="en"/>
        </w:rPr>
        <w:tab/>
      </w:r>
      <w:r>
        <w:rPr>
          <w:b/>
          <w:bCs/>
          <w:lang w:val="el" w:eastAsia="el"/>
        </w:rPr>
        <w:t>Τα οχήματα δοκιμών (test-drive), που διαθέτουν οι επιχειρήσεις εμπορίας αυτοκινήτων,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οχήματα μεταφοράς προσωπικού (π.χ. mini-bus),</w:t>
      </w:r>
    </w:p>
    <w:p>
      <w:pPr>
        <w:pStyle w:val="StructureList1"/>
        <w:spacing w:before="120" w:after="0"/>
        <w:rPr>
          <w:lang w:val="el" w:eastAsia="el"/>
        </w:rPr>
      </w:pPr>
      <w:r>
        <w:rPr>
          <w:b/>
          <w:bCs/>
          <w:lang w:val="el" w:eastAsia="el"/>
        </w:rPr>
        <w:t>δ)</w:t>
      </w:r>
      <w:r>
        <w:rPr>
          <w:b/>
          <w:bCs/>
          <w:lang w:val="en" w:eastAsia="en"/>
        </w:rPr>
        <w:tab/>
      </w:r>
      <w:r>
        <w:rPr>
          <w:b/>
          <w:bCs/>
          <w:lang w:val="el" w:eastAsia="el"/>
        </w:rPr>
        <w:t>Τα οχήματα που χρησιμοποιούν επιχειρήσεις (π.χ. ξενοδοχειακές επιχειρήσεις) για μεταφορά καλεσμένων ή πελατών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Τα οχήματα τα οποία διαθέτουν οι επιχειρήσεις επισκευής και συντήρησης (service) οχημάτων προσωρινά σε αντικατάσταση των επισκευαζόμενων,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οχήματα ιδιωτικής χρήσης που χρησιμοποιούνται από τις αεροπορικές εταιρείες και τις επιχειρήσεις διαχείρισης αεροδρομίων για την εξυπηρέτηση των αεροσκαφών και των επιβατών τους (αυτοκίνητα πίστας) καθώς και για την μεταφορά VIPS ή προσωπικού,</w:t>
      </w:r>
    </w:p>
    <w:p>
      <w:pPr>
        <w:spacing w:before="240" w:after="240"/>
        <w:rPr>
          <w:lang w:val="el" w:eastAsia="el"/>
        </w:rPr>
      </w:pPr>
      <w:r>
        <w:rPr>
          <w:b/>
          <w:bCs/>
          <w:lang w:val="el" w:eastAsia="el"/>
        </w:rPr>
        <w:t>Συνεπώς, αν ένα όχημα εκ των ανωτέρω περιπτώσεων α΄ έως στ΄, έχει παραχωρηθεί για χρήση σε εργαζόμενο ή εταίρο ή μέτοχο επιχείρησης αλλά έχει ΛΤΠΦ άνω των 12.000 ευρώ, τότε δεν θα υφίσταται καμία απαλλαγή. Για παράδειγμα, ένα όχημα με ΛΤΠΦ 15.000 που έχει δοθεί σε πωλητή μιας επιχείρησης θα αποτελεί παροχή σε είδος για το σύνολο της αξίας του (η οποία θα προσδιοριστεί με βάση την κλίμακα ως εξής: 15.000*7% = 1.050 ευρώ), ενώ ένα όχημα με ΛΤΠΦ 11.999 ευρώ που έχει δοθεί επίσης για επαγγελματικούς σκοπούς, δεν θα αποτελέσει παροχή σε είδος.</w:t>
      </w:r>
    </w:p>
    <w:p>
      <w:pPr>
        <w:spacing w:before="240" w:after="240"/>
        <w:rPr>
          <w:lang w:val="el" w:eastAsia="el"/>
        </w:rPr>
      </w:pPr>
      <w:r>
        <w:rPr>
          <w:b/>
          <w:bCs/>
          <w:lang w:val="el" w:eastAsia="el"/>
        </w:rPr>
        <w:t>Διευκρινίζεται ότι από 01.01.2016 η παροχή σε είδος, η οποία πλέον υπολογίζεται με βάση τις προαναφερθείσες διατάξεις της παρ. 2 του άρθρου 13 του ν.4172/2013 όπως αυτές ισχύουν και όχι ως ποσοστό επί του πραγματικού κόστους του οχήματος, δεν χρησιμοποιείται για τον προσδιορισμό της πραγματικής δαπάνης του οχήματος για την παραχωρούσα επιχείρηση αλλά μόνο για τον υπολογισμό του τεκμαρτού εισοδήματος για τον χρήστη του.</w:t>
      </w:r>
    </w:p>
    <w:p>
      <w:pPr>
        <w:spacing w:before="240" w:after="240"/>
        <w:rPr>
          <w:lang w:val="el" w:eastAsia="el"/>
        </w:rPr>
      </w:pPr>
      <w:r>
        <w:rPr>
          <w:b/>
          <w:bCs/>
          <w:lang w:val="el" w:eastAsia="el"/>
        </w:rPr>
        <w:t>Οι πραγματικές δαπάνες της επιχείρησης, που αφορούν στο κόστος του οχήματος και περιλαμβάνουν αποσβέσεις, κόστη επισκευής και συντήρησης, τέλη κυκλοφορίας, καύσιμα, διόδια καθώς και το σχετικό κόστος σε περίπτωση μίσθωσης ή χρηματοοικονομικής μίσθωσης, κλπ. εκπίπτουν στο σύνολό τους (100%) με βάση τις διατάξεις του άρθρου 22 του ν.4172/2013 (προϋποθέσεις περιπτώσεων α΄, β΄, και γ΄) και τα όσα ειδικότερα αναφέρονται στην ΠΟΛ. 1113/2015 εγκύκλιο, κατά περίπτωση.</w:t>
      </w:r>
    </w:p>
    <w:p>
      <w:pPr>
        <w:spacing w:before="240" w:after="240"/>
        <w:rPr>
          <w:lang w:val="el" w:eastAsia="el"/>
        </w:rPr>
      </w:pPr>
      <w:r>
        <w:rPr>
          <w:b/>
          <w:bCs/>
          <w:lang w:val="el" w:eastAsia="el"/>
        </w:rPr>
        <w:t>Τέλος, σημειώνεται ότι οι διατάξεις της παραγράφου 2 του άρθρου 13 του ν.4172/2013 όπως ισχύει, δεν καταλαμβάνουν τους δικαιούχους χρήσης των φορέων της Γενικής Κυβέρνησης όπως έχουν καθοριστεί στην Απόφαση 129/2534/20.1.2010 ΚΥΑ (Β΄ 108).</w:t>
      </w:r>
    </w:p>
    <w:p>
      <w:pPr>
        <w:spacing w:before="240" w:after="240"/>
        <w:rPr>
          <w:lang w:val="el" w:eastAsia="el"/>
        </w:rPr>
      </w:pPr>
      <w:r>
        <w:rPr>
          <w:b/>
          <w:bCs/>
          <w:lang w:val="el" w:eastAsia="el"/>
        </w:rPr>
        <w:t>Τα ανωτέρω έχουν εφαρμογή για εισοδήματα που αποκτώνται από την 1</w:t>
      </w:r>
      <w:r>
        <w:rPr>
          <w:b/>
          <w:bCs/>
          <w:sz w:val="30"/>
          <w:szCs w:val="30"/>
          <w:vertAlign w:val="superscript"/>
          <w:lang w:val="el" w:eastAsia="el"/>
        </w:rPr>
        <w:t xml:space="preserve">η </w:t>
      </w:r>
      <w:r>
        <w:rPr>
          <w:b/>
          <w:bCs/>
          <w:lang w:val="el" w:eastAsia="el"/>
        </w:rPr>
        <w:t>Ιανουαρίου 2016 και μετά.</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 - ΚΟΙΝΟΠΟΙΗΣΗ</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ΙΙ. ΕΣΩΤΕΡΙΚΗ ΔΙΑΝΟΜΗ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Γραφείο κ. Διοικητή ΑΑΔΕ</w:t>
      </w:r>
    </w:p>
    <w:p>
      <w:pPr>
        <w:spacing w:before="240" w:after="240"/>
        <w:rPr>
          <w:lang w:val="el" w:eastAsia="el"/>
        </w:rPr>
      </w:pPr>
      <w:r>
        <w:rPr>
          <w:b/>
          <w:bCs/>
          <w:lang w:val="el" w:eastAsia="el"/>
        </w:rPr>
        <w:t>4. Γραφείο κ. Γεν. Γραμματέα Γ.Γ.Π.Σ.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Δ/νση Εφαρμογής Άμεσης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w:t>
      </w:r>
    </w:p>
    <w:p>
      <w:pPr>
        <w:spacing w:before="240" w:after="240"/>
        <w:rPr>
          <w:lang w:val="el" w:eastAsia="el"/>
        </w:rPr>
      </w:pPr>
      <w:r>
        <w:rPr>
          <w:b/>
          <w:bCs/>
          <w:lang w:val="el" w:eastAsia="el"/>
        </w:rPr>
        <w:t>7. Δ/νση Νομικής Υποστήριξης</w:t>
      </w:r>
    </w:p>
    <w:p>
      <w:pPr>
        <w:spacing w:before="240" w:after="240"/>
        <w:rPr>
          <w:lang w:val="el" w:eastAsia="el"/>
        </w:rPr>
      </w:pPr>
      <w:r>
        <w:rPr>
          <w:b/>
          <w:bCs/>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