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 ΔΙΕΥΘΥΝΣΗ ΕΦΑΡΜΟΓΗΣ ΑΜΕΣΗΣ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 xml:space="preserve">101 84 Αθήνα Ε. Πλάνη, Β. Τουζένη 210 – 3375312 210 – 3375001 </w:t>
      </w:r>
      <w:hyperlink r:id="rId4" w:history="1">
        <w:r>
          <w:rPr>
            <w:rStyle w:val="Hyperlink"/>
            <w:color w:val="0000EE"/>
            <w:u w:color="0000EE"/>
            <w:lang w:val="el" w:eastAsia="el"/>
          </w:rPr>
          <w:t>d12.b@yo.syzefxis.gov.gr</w:t>
        </w:r>
      </w:hyperlink>
    </w:p>
    <w:p>
      <w:pPr>
        <w:spacing w:before="240" w:after="240"/>
        <w:rPr>
          <w:lang w:val="el" w:eastAsia="el"/>
        </w:rPr>
      </w:pPr>
      <w:hyperlink r:id="rId5" w:history="1">
        <w:r>
          <w:rPr>
            <w:rStyle w:val="Hyperlink"/>
            <w:color w:val="0000EE"/>
            <w:u w:color="0000EE"/>
            <w:lang w:val="el" w:eastAsia="el"/>
          </w:rPr>
          <w:t>d12.a@yo.syzefxis.gov.gr</w:t>
        </w:r>
      </w:hyperlink>
      <w:hyperlink r:id="rId6"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«Κοινοποίηση των διατάξεων του άρθρου 72 του ν.4446/2016 που αφορούν στην έκπτωση δαπανών μισθοδοσίας με τη χρήση ηλεκτρονικού μέσου πληρωμής ή μέσω παρόχου υπηρεσιών πληρωμών».</w:t>
      </w:r>
    </w:p>
    <w:p>
      <w:pPr>
        <w:spacing w:before="240" w:after="240"/>
        <w:rPr>
          <w:lang w:val="el" w:eastAsia="el"/>
        </w:rPr>
      </w:pPr>
      <w:r>
        <w:rPr>
          <w:u w:val="single"/>
          <w:lang w:val="el" w:eastAsia="el"/>
        </w:rPr>
        <w:t>Σας κοινοποιούμε τις διατάξεις του άρθρου 72 του ν.4446/2016 (ΦΕΚ 240 Α’) και σας παρέχουμε τις ακόλουθες οδηγίες για την ορθή και ομοιόμορφη εφαρμογή τους:</w:t>
      </w:r>
    </w:p>
    <w:p>
      <w:pPr>
        <w:spacing w:before="240" w:after="240"/>
        <w:rPr>
          <w:lang w:val="el" w:eastAsia="el"/>
        </w:rPr>
      </w:pPr>
      <w:r>
        <w:rPr>
          <w:u w:val="single"/>
          <w:lang w:val="el" w:eastAsia="el"/>
        </w:rPr>
        <w:t xml:space="preserve">1. Με τις διατάξεις του άρθρου 72 του ν.4446/2016 προστίθεται νέα περίπτωση ιδ’ στον κατάλογο των μη εκπιπτόμενων επιχειρηματικών δαπανών του άρθρου 23 του ν.4172/2013. Συγκεκριμένα, τίθεται περιορισμός στην έκπτωση των δαπανών που πραγματοποιούνται στο πλαίσιο εργασιακής σχέσης όπως αυτή ορίζεται στην παρ. 2 του άρθρου 12 του ν.4172/2013, </w:t>
      </w:r>
      <w:r>
        <w:rPr>
          <w:b/>
          <w:bCs/>
          <w:u w:val="single"/>
          <w:lang w:val="el" w:eastAsia="el"/>
        </w:rPr>
        <w:t>ανεξαρτήτως ποσού</w:t>
      </w:r>
      <w:r>
        <w:rPr>
          <w:u w:val="single"/>
          <w:lang w:val="el" w:eastAsia="el"/>
        </w:rPr>
        <w:t>, όταν η τμηματική ή ολική εξόφληση αυτών δεν έχει πραγματοποιηθεί με τη χρήση ηλεκτρονικού μέσου πληρωμής ή μέσω παρόχου υπηρεσιών πληρωμών.</w:t>
      </w:r>
    </w:p>
    <w:p>
      <w:pPr>
        <w:spacing w:before="240" w:after="240"/>
        <w:rPr>
          <w:lang w:val="el" w:eastAsia="el"/>
        </w:rPr>
      </w:pPr>
      <w:r>
        <w:rPr>
          <w:u w:val="single"/>
          <w:lang w:val="el" w:eastAsia="el"/>
        </w:rPr>
        <w:t>2. Ως «ηλεκτρονικό μέσο πληρωμής», για την εφαρμογή των κοινοποιούμενων διατάξεων, νοείται κάθε μέσο πληρωμής, κατά την έννοια της περ. ιδ’ του άρθρου 62 του νόμου αυτού, που απαιτεί τη μεσολάβηση ενός τηλεπικοινωνιακού ή ηλεκτρονικού δικτύου, όπως π.χ. η μεταφορά χρημάτων μέσω ειδικών διαδικτυακών εφαρμογών («e-banking»), καρτών, το «ηλεκτρονικό πορτοφόλι», κ.λπ., ενώ η έννοια του «παρόχου υπηρεσιών πληρωμών» ορίζεται με τις διατάξεις της περ. δ’ του άρθρου 62 του ν.4446/2016 και είναι ευρύτερη από αυτή της παρ. 2 του άρθρου 1 του ν.3862/2010. Επομένως, στους παρόχους υπηρεσιών πληρωμών περιλαμβάνονται, μεταξύ άλλων, τα πιστωτικά ιδρύματα, τα γραφεία ταχυδρομικών επιταγών και τα ιδρύματα πληρωμών, ανεξάρτητα αν έχουν την έδρα τους στην ημεδαπή ή στην αλλοδαπή (Ε.Ε., τρίτες χώρες).</w:t>
      </w:r>
    </w:p>
    <w:p>
      <w:pPr>
        <w:spacing w:before="240" w:after="240"/>
        <w:rPr>
          <w:lang w:val="el" w:eastAsia="el"/>
        </w:rPr>
      </w:pPr>
      <w:r>
        <w:rPr>
          <w:u w:val="single"/>
          <w:lang w:val="el" w:eastAsia="el"/>
        </w:rPr>
        <w:t>3. Κατόπιν των ανωτέρω, πέραν της μεταφοράς χρημάτων μέσω ειδικών διαδικτυακών εφαρμογών και της χρήσης χρεωστικών ή πιστωτικών καρτών, ως κατάλληλα μέσα πληρωμής για την έκπτωση των δαπανών που πραγματοποιούνται στο πλαίσιο εργασιακής σχέσης νοούνται ενδεικτικά και τα ακόλουθα: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κατάθεση σε τραπεζικό λογαριασμό του μισθωτού, έστω και αν υπάρχουν περισσότεροι συνδικαιούχοι, είτε με μετρητά είτε με μεταφορά μεταξύ λογαριασμών (έμβασμα),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χρήση ταχυδρομικής επιταγής – ταχυπληρωμής ή η κατάθεση σε λογαριασμό πληρωμών των Ελληνικών Ταχυδρομείων,</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χρήση τραπεζικής επιταγής,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έκδοση επιταγής σε διαταγή του μισθωτού.</w:t>
      </w:r>
    </w:p>
    <w:p>
      <w:pPr>
        <w:spacing w:before="240" w:after="240"/>
        <w:rPr>
          <w:lang w:val="el" w:eastAsia="el"/>
        </w:rPr>
      </w:pPr>
      <w:r>
        <w:rPr>
          <w:u w:val="single"/>
          <w:lang w:val="el" w:eastAsia="el"/>
        </w:rPr>
        <w:t>4. Κατά ρητή διατύπωση των σχετικών διατάξεων, σε περίπτωση που μέρος των δαπανών που πραγματοποιούνται στο πλαίσιο εργασιακής σχέσης δεν εξοφληθεί με κάποιο από τα μέσα που παρατίθενται πιο πάνω, δεν αναγνωρίζεται προς έκπτωση το σύνολο της δαπάνης. Εξαίρεση αποτελεί η περίπτωση κατά την οποία μέρος του μισθού παρακρατείται από τον εργοδότη με σκοπό την εξόφληση υποχρεώσεών του (π.χ. δάνειο που του έχει χορηγήσει ο εργοδότης) ή την εκτέλεση κατάσχεσης απαίτησης εις χείρας τρίτου (π.χ. οφειλές του εργαζόμενου προς το Δημόσιο), οπότε η σχετική δαπάνη εκπίπτει στο σύνολό της όταν το εναπομείναν ποσό έχει εξοφληθεί με τη χρήση ηλεκτρονικού μέσου πληρωμής ή μέσω παρόχου υπηρεσιών πληρωμών.</w:t>
      </w:r>
    </w:p>
    <w:p>
      <w:pPr>
        <w:spacing w:before="240" w:after="240"/>
        <w:rPr>
          <w:lang w:val="el" w:eastAsia="el"/>
        </w:rPr>
      </w:pPr>
      <w:r>
        <w:rPr>
          <w:u w:val="single"/>
          <w:lang w:val="el" w:eastAsia="el"/>
        </w:rPr>
        <w:t>5. Επισημαίνεται ότι οι κοινοποιούμενες διατάξεις καταλαμβάνουν όλες τις περιπτώσεις δαπανών που καταβάλλονται δυνάμει εργασιακής σχέσης, όπως αυτή ορίζεται με τις διατάξεις της παρ. 2 του άρθρου 12 του ν.4172/2013. Επομένως, η έκπτωση των δαπανών αναφορικά με τη λήψη υπηρεσιών, βάσει έγγραφων συμβάσεων παροχής υπηρεσιών ή συμβάσεων έργου, από πρόσωπα που δεν αποκτούν την εμπορική ιδιότητα, που προσδίδουν την έννοια της εργασιακής σχέσης ή από δικηγόρους βάσει πάγιας αντιμισθίας, κ.λπ. εξετάζονται υπό το πρίσμα της νέας περίπτωσης ιδ’ του άρθρου 23 του ν.4172/2013 και όχι με βάση την περ. β’ του άρθρου αυτού. Εξαίρεση από τα ανωτέρω αποτελούν οι παροχές σε είδος που πραγματοποιούν οι επιχειρήσεις προς τους εργαζομένους τους οι οποίες εξακολουθούν να εκπίπτουν με τον περιορισμό που θέτουν οι διατάξεις της περ. β’ του άρθρου 23 του ν.4172/2013 καθώς και οι δαπάνες που εξαιρούνται από τον υπολογισμό του εισοδήματος των δικαιούχων από μισθωτή εργασία και συντάξεις με βάση τις διατάξεις της παρ. 1 του άρθρου 14 του νόμου αυτού. Αντίθετα, οι αμοιβές για μισθωτή εργασία και η πάγια αντιμισθία που χορηγούνται σε ανάπηρους με ποσοστό αναπηρίας τουλάχιστον ογδόντα τοις εκατό (80%), οι οποίες απαλλάσσονται από τον φόρο με βάση τις διατάξεις της περ. ε’ της παρ. 2 του άρθρου 14 του ν.4172/2013, εκπίπτουν με τις προϋποθέσεις των κοινοποιούμενων διατάξεων.</w:t>
      </w:r>
    </w:p>
    <w:p>
      <w:pPr>
        <w:spacing w:before="240" w:after="240"/>
        <w:rPr>
          <w:lang w:val="el" w:eastAsia="el"/>
        </w:rPr>
      </w:pPr>
      <w:r>
        <w:rPr>
          <w:u w:val="single"/>
          <w:lang w:val="el" w:eastAsia="el"/>
        </w:rPr>
        <w:t>6. Δεδομένου ότι οι εν λόγω διατάξεις ρυθμίζουν ζήτημα έκπτωσης δαπανών, η εφαρμογή τους καταλαμβάνει τις δαπάνες εκείνες που πραγματοποιούνται στο πλαίσιο εργασιακής σχέσης μετά τη δημοσίευση του νόμου στην Εφημερίδα της Κυβέρνησης (22.12.2016) και επομένως, εφαρμόζονται για δαπάνες μισθοδοσίας του μηνός Ιανουαρίου 2017 και μετά. Εξαιρετικά, για τις αμοιβές που αφορούν τον μήνα Ιανουάριο 2017 και λόγω της πρώτης εφαρμογής των υπόψη διατάξεων, τυχόν προκαταβολές που έχουν καταβληθεί πριν τη δημοσίευση του νόμου θα αναγνωρίζονται προς έκπτωση ανεξαρτήτως του τρόπου εξόφλησής τους.</w:t>
      </w:r>
    </w:p>
    <w:p>
      <w:pPr>
        <w:spacing w:before="240" w:after="240"/>
        <w:rPr>
          <w:lang w:val="el" w:eastAsia="el"/>
        </w:rPr>
      </w:pPr>
      <w:r>
        <w:rPr>
          <w:u w:val="single"/>
          <w:lang w:val="el" w:eastAsia="el"/>
        </w:rPr>
        <w:t>Επισημαίνεται ότι οι δαπάνες που έχουν πραγματοποιηθεί εντός του φορολογικού έτους αλλά δεν έχουν εξοφληθεί στο έτος αυτό, κρίνονται οριστικά, ως προς την εκπεσιμότητά τους, στο φορολογικό έτος που θα λάβει χώρα η εξόφληση αυτών. Στην περίπτωση που στο έτος εξόφλησης των δαπανών διαπιστωθεί ότι οι δαπάνες αυτές εξοφλήθηκαν χωρίς να γίνει χρήση ηλεκτρονικού μέσου πληρωμής ή διαμεσολάβηση παρόχου υπηρεσιών πληρωμών (π.χ. με μετρητά), η επιχείρηση υποχρεούται να υποβάλλει τροποποιητική δήλωση του φορολογικού έτους που αφορά η δαπάνη, προσθέτοντας τα ποσά αυτών των δαπανών ως θετική λογιστική διαφορά.</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 (εκτός του αριθμού 2 αυτού)</w:t>
      </w:r>
    </w:p>
    <w:p>
      <w:pPr>
        <w:spacing w:before="240" w:after="240"/>
        <w:rPr>
          <w:lang w:val="el" w:eastAsia="el"/>
        </w:rPr>
      </w:pPr>
      <w:r>
        <w:rPr>
          <w:u w:val="single"/>
          <w:lang w:val="el" w:eastAsia="el"/>
        </w:rPr>
        <w:t>2. Κεντρική Υπηρεσία ΣΔΟΕ και τις Περιφερειακές Διευθύνσεις της</w:t>
      </w:r>
    </w:p>
    <w:p>
      <w:pPr>
        <w:spacing w:before="240" w:after="240"/>
        <w:rPr>
          <w:lang w:val="el" w:eastAsia="el"/>
        </w:rPr>
      </w:pPr>
      <w:r>
        <w:rPr>
          <w:u w:val="single"/>
          <w:lang w:val="el" w:eastAsia="el"/>
        </w:rPr>
        <w:t>3. Διεύθυνση Ηλεκτρονικής Διακυβέρνησης</w:t>
      </w:r>
    </w:p>
    <w:p>
      <w:pPr>
        <w:spacing w:before="240" w:after="240"/>
        <w:rPr>
          <w:lang w:val="el" w:eastAsia="el"/>
        </w:rPr>
      </w:pPr>
      <w:r>
        <w:rPr>
          <w:u w:val="single"/>
          <w:lang w:val="el" w:eastAsia="el"/>
        </w:rPr>
        <w:t>4. Διεύθυνση Υποστήριξης Ηλεκτρονικών Υπηρεσιών – Τμήμα Ε΄</w:t>
      </w:r>
    </w:p>
    <w:p>
      <w:pPr>
        <w:spacing w:before="240" w:after="240"/>
        <w:rPr>
          <w:lang w:val="el" w:eastAsia="el"/>
        </w:rPr>
      </w:pPr>
      <w:r>
        <w:rPr>
          <w:u w:val="single"/>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u w:val="single"/>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u w:val="single"/>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u w:val="single"/>
          <w:lang w:val="el" w:eastAsia="el"/>
        </w:rPr>
        <w:t>4. Γραφείο κ. Υπουργού Οικονομικών</w:t>
      </w:r>
    </w:p>
    <w:p>
      <w:pPr>
        <w:spacing w:before="240" w:after="240"/>
        <w:rPr>
          <w:lang w:val="el" w:eastAsia="el"/>
        </w:rPr>
      </w:pPr>
      <w:r>
        <w:rPr>
          <w:u w:val="single"/>
          <w:lang w:val="el" w:eastAsia="el"/>
        </w:rPr>
        <w:t>5. Γραφείο κ. Υφυπουργού Οικονομικών</w:t>
      </w:r>
    </w:p>
    <w:p>
      <w:pPr>
        <w:spacing w:before="240" w:after="240"/>
        <w:rPr>
          <w:lang w:val="el" w:eastAsia="el"/>
        </w:rPr>
      </w:pPr>
      <w:r>
        <w:rPr>
          <w:u w:val="single"/>
          <w:lang w:val="el" w:eastAsia="el"/>
        </w:rPr>
        <w:t>6. ΣΕΒ Σύνδεσμος Επιχειρήσεων και βιομηχανιών, Ξενοφώντος 5, Τ.Κ. 105 57,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κ. Διοικητή της Α.Α.Δ.Ε.</w:t>
      </w:r>
    </w:p>
    <w:p>
      <w:pPr>
        <w:spacing w:before="240" w:after="240"/>
        <w:rPr>
          <w:lang w:val="el" w:eastAsia="el"/>
        </w:rPr>
      </w:pPr>
      <w:r>
        <w:rPr>
          <w:u w:val="single"/>
          <w:lang w:val="el" w:eastAsia="el"/>
        </w:rPr>
        <w:t>2. Γραφεία κ.κ. Γενικών Δ/ντών</w:t>
      </w:r>
    </w:p>
    <w:p>
      <w:pPr>
        <w:spacing w:before="240" w:after="240"/>
        <w:rPr>
          <w:lang w:val="el" w:eastAsia="el"/>
        </w:rPr>
      </w:pPr>
      <w:r>
        <w:rPr>
          <w:u w:val="single"/>
          <w:lang w:val="el" w:eastAsia="el"/>
        </w:rPr>
        <w:t>3. Αυτοτελές Τμήμα Συντονισμού Μεταρρυθμιστικών Δράσεων και Επικοινωνίας</w:t>
      </w:r>
    </w:p>
    <w:p>
      <w:pPr>
        <w:spacing w:before="240" w:after="240"/>
        <w:rPr>
          <w:lang w:val="el" w:eastAsia="el"/>
        </w:rPr>
      </w:pPr>
      <w:r>
        <w:rPr>
          <w:u w:val="single"/>
          <w:lang w:val="el" w:eastAsia="el"/>
        </w:rPr>
        <w:t>4. Δ/νση Νομικής Υποστήριξης</w:t>
      </w:r>
    </w:p>
    <w:p>
      <w:pPr>
        <w:spacing w:before="240" w:after="240"/>
        <w:rPr>
          <w:lang w:val="el" w:eastAsia="el"/>
        </w:rPr>
      </w:pPr>
      <w:r>
        <w:rPr>
          <w:u w:val="single"/>
          <w:lang w:val="el" w:eastAsia="el"/>
        </w:rPr>
        <w:t>5. Δ/νση Εισπράξεων</w:t>
      </w:r>
    </w:p>
    <w:p>
      <w:pPr>
        <w:spacing w:before="240" w:after="240"/>
        <w:rPr>
          <w:lang w:val="el" w:eastAsia="el"/>
        </w:rPr>
      </w:pPr>
      <w:r>
        <w:rPr>
          <w:u w:val="single"/>
          <w:lang w:val="el" w:eastAsia="el"/>
        </w:rPr>
        <w:t>6. Δ/νση Εφαρμογής Άμεσης Φορολογίας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mailto:d12.a@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