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 xml:space="preserve">Αθήνα, </w:t>
      </w:r>
      <w:r>
        <w:rPr>
          <w:lang w:val="el" w:eastAsia="el"/>
        </w:rPr>
        <w:t>21 Απριλίου 2017</w:t>
      </w:r>
    </w:p>
    <w:p>
      <w:pPr>
        <w:pStyle w:val="PreambelText"/>
        <w:spacing w:before="240" w:after="240"/>
        <w:rPr>
          <w:lang w:val="el" w:eastAsia="el"/>
        </w:rPr>
      </w:pPr>
      <w:r>
        <w:rPr>
          <w:lang w:val="el" w:eastAsia="el"/>
        </w:rPr>
        <w:t xml:space="preserve">Αριθ. Πρωτ.: </w:t>
      </w:r>
      <w:r>
        <w:rPr>
          <w:b/>
          <w:bCs/>
          <w:lang w:val="el" w:eastAsia="el"/>
        </w:rPr>
        <w:t>ΔΕΛ Ε 1063400 ΕΞ 2017</w:t>
      </w:r>
    </w:p>
    <w:p>
      <w:pPr>
        <w:pStyle w:val="PreambelText"/>
        <w:spacing w:before="240" w:after="240"/>
        <w:rPr>
          <w:lang w:val="el" w:eastAsia="el"/>
        </w:rPr>
      </w:pPr>
      <w:r>
        <w:rPr>
          <w:b/>
          <w:bCs/>
          <w:lang w:val="el" w:eastAsia="el"/>
        </w:rPr>
        <w:t>ΑΔΑ: 6ΝΡ1Η-ΙΣΕ</w:t>
      </w:r>
    </w:p>
    <w:p>
      <w:pPr>
        <w:pStyle w:val="PreambelText"/>
        <w:spacing w:before="240" w:after="240"/>
        <w:rPr>
          <w:lang w:val="el" w:eastAsia="el"/>
        </w:rPr>
      </w:pPr>
      <w:r>
        <w:rPr>
          <w:lang w:val="el" w:eastAsia="el"/>
        </w:rPr>
        <w:t>Καρ. Σερβίας 10</w:t>
      </w:r>
    </w:p>
    <w:p>
      <w:pPr>
        <w:pStyle w:val="PreambelText"/>
        <w:spacing w:before="240" w:after="240"/>
        <w:rPr>
          <w:lang w:val="el" w:eastAsia="el"/>
        </w:rPr>
      </w:pPr>
      <w:r>
        <w:rPr>
          <w:lang w:val="el" w:eastAsia="el"/>
        </w:rPr>
        <w:t>101 84 Αθήνα</w:t>
      </w:r>
    </w:p>
    <w:p>
      <w:pPr>
        <w:pStyle w:val="PreambelText"/>
        <w:spacing w:before="240" w:after="240"/>
        <w:rPr>
          <w:lang w:val="el" w:eastAsia="el"/>
        </w:rPr>
      </w:pPr>
      <w:r>
        <w:rPr>
          <w:lang w:val="el" w:eastAsia="el"/>
        </w:rPr>
        <w:t>210 3375885</w:t>
      </w:r>
    </w:p>
    <w:p>
      <w:pPr>
        <w:pStyle w:val="PreambelText"/>
        <w:spacing w:before="240" w:after="240"/>
        <w:rPr>
          <w:lang w:val="el" w:eastAsia="el"/>
        </w:rPr>
      </w:pPr>
      <w:r>
        <w:rPr>
          <w:lang w:val="el" w:eastAsia="el"/>
        </w:rPr>
        <w:t>210 3375354</w:t>
      </w:r>
    </w:p>
    <w:p>
      <w:pPr>
        <w:pStyle w:val="PreambelText"/>
        <w:spacing w:before="240" w:after="240"/>
        <w:rPr>
          <w:lang w:val="el" w:eastAsia="el"/>
        </w:rPr>
      </w:pPr>
      <w:hyperlink r:id="rId4" w:history="1">
        <w:r>
          <w:rPr>
            <w:rStyle w:val="Hyperlink"/>
            <w:color w:val="0000EE"/>
            <w:u w:color="0000EE"/>
            <w:lang w:val="el" w:eastAsia="el"/>
          </w:rPr>
          <w:t>d.eleg5@ mofadm.gr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lang w:val="el" w:eastAsia="el"/>
        </w:rPr>
        <w:t xml:space="preserve">Θέμα: </w:t>
      </w:r>
      <w:r>
        <w:rPr>
          <w:lang w:val="el" w:eastAsia="el"/>
        </w:rPr>
        <w:t>«Διακοπή εργασιών, ιδιοκτητών κλεμμένων ΦΙΧ οχημάτων</w:t>
      </w:r>
      <w:r>
        <w:rPr>
          <w:b/>
          <w:bCs/>
          <w:lang w:val="el" w:eastAsia="el"/>
        </w:rPr>
        <w:t>»</w:t>
      </w:r>
    </w:p>
    <w:p>
      <w:pPr>
        <w:pStyle w:val="PreambelText"/>
        <w:spacing w:before="240" w:after="240"/>
        <w:rPr>
          <w:lang w:val="el" w:eastAsia="el"/>
        </w:rPr>
      </w:pPr>
      <w:r>
        <w:rPr>
          <w:lang w:val="el" w:eastAsia="el"/>
        </w:rPr>
        <w:t>Με αφορμή ερωτήματα, που περιήλθαν στην υπηρεσία μας, από φορολογούμενους και Δ.Ο.Υ. και όσον αφορά το αντικείμενο του θέματος, σας γνωρίζουμε τα ακόλουθα:</w:t>
      </w:r>
    </w:p>
    <w:p>
      <w:pPr>
        <w:pStyle w:val="PreambelText"/>
        <w:spacing w:before="240" w:after="240"/>
        <w:rPr>
          <w:lang w:val="el" w:eastAsia="el"/>
        </w:rPr>
      </w:pPr>
      <w:r>
        <w:rPr>
          <w:lang w:val="el" w:eastAsia="el"/>
        </w:rPr>
        <w:t>Όπως μας γνώρισε η αρμόδια υπηρεσία του Υπουργείου Υποδομών και Μεταφορών, με την ολοκλήρωση της δήλωσης κλοπής του οχήματος, χορηγείται στον ενδιαφερόμενο μηχανογραφική εκτύπωση του συστήματος αδειών κυκλοφορίας με την ονομασία «Υπηρεσιακό Αντίγραφο Αδείας Κυκλοφορίας» και φέρει την ένδειξη Κωδ. Μετ. : [44] ΔΗΛΩΣΗ ΚΛΟΠΗΣ.</w:t>
      </w:r>
    </w:p>
    <w:p>
      <w:pPr>
        <w:pStyle w:val="PreambelText"/>
        <w:spacing w:before="240" w:after="240"/>
        <w:rPr>
          <w:lang w:val="el" w:eastAsia="el"/>
        </w:rPr>
      </w:pPr>
      <w:r>
        <w:rPr>
          <w:lang w:val="el" w:eastAsia="el"/>
        </w:rPr>
        <w:t>Συνεπώς, φορολογούμενοι οι οποίοι λόγω κλοπής, δεν έχουν στη διάθεσή τους το ΦΙΧ όχημά τους, οφείλουν, κατά την υποβολή της δήλωσης Διακοπής Εργασιών, στον αρμόδιο υπάλληλο του τμήματος ή γραφείου Διοικητικής και Μηχανογραφικής Υποστήριξης της Δ.Ο.Υ., στη χωρική αρμοδιότητα της οποίας βρίσκεται η έδρα της επιχείρησής τους, να συνυποβάλλουν το σχετικό αντίγραφο.</w:t>
      </w:r>
    </w:p>
    <w:p>
      <w:pPr>
        <w:pStyle w:val="enacting"/>
        <w:spacing w:before="120" w:after="0"/>
        <w:rPr>
          <w:lang w:val="el" w:eastAsia="el"/>
        </w:rPr>
      </w:pPr>
      <w:r>
        <w:rPr>
          <w:lang w:val="el" w:eastAsia="el"/>
        </w:rPr>
        <w:t>ΜΕ ΕΝΤΟΛΗ ΔΙΟΙΚΗΤΗ Α.Α.Δ.Ε.</w:t>
      </w:r>
      <w:r>
        <w:rPr>
          <w:sz w:val="30"/>
          <w:szCs w:val="30"/>
          <w:vertAlign w:val="superscript"/>
          <w:lang w:val="el" w:eastAsia="el"/>
        </w:rPr>
        <w:t>.</w:t>
      </w:r>
      <w:r>
        <w:rPr>
          <w:lang w:val="el" w:eastAsia="el"/>
        </w:rPr>
        <w:t xml:space="preserve"> Ο ΠΡΟΪΣΤΑΜΕΝΟΣ ΤΗΣ ΔΙΕΥΘΥΝΣΗΣ</w:t>
      </w:r>
    </w:p>
    <w:p>
      <w:pPr>
        <w:pStyle w:val="PreambelText"/>
        <w:spacing w:before="240" w:after="240"/>
        <w:rPr>
          <w:lang w:val="el" w:eastAsia="el"/>
        </w:rPr>
      </w:pPr>
      <w:r>
        <w:rPr>
          <w:b/>
          <w:bCs/>
          <w:lang w:val="el" w:eastAsia="el"/>
        </w:rPr>
        <w:t>ΙΩΑΝΝΗΣ ΚΑΤΣΙΠΗΣ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lang w:val="el" w:eastAsia="el"/>
        </w:rPr>
        <w:t>Ι .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Γραφεία Εξυπηρέτησης Φορολογουμένων (Γ.Ε.Φ.)</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 Υπηρεσιών (για ανάρτηση στην ιστοσελίδα της Α.Α.Δ.Ε)</w:t>
      </w:r>
    </w:p>
    <w:p>
      <w:pPr>
        <w:pStyle w:val="PreambelText"/>
        <w:spacing w:before="240" w:after="240"/>
        <w:rPr>
          <w:lang w:val="el" w:eastAsia="el"/>
        </w:rPr>
      </w:pPr>
      <w:r>
        <w:rPr>
          <w:b/>
          <w:bCs/>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Γραφείο Υπουργού Οικονομικών κ. Τσακαλώτου</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 κ. Παπανάτσιου</w:t>
      </w:r>
    </w:p>
    <w:p>
      <w:pPr>
        <w:pStyle w:val="StructureList1"/>
        <w:spacing w:before="120" w:after="0"/>
        <w:rPr>
          <w:lang w:val="el" w:eastAsia="el"/>
        </w:rPr>
      </w:pPr>
      <w:r>
        <w:rPr>
          <w:lang w:val="el" w:eastAsia="el"/>
        </w:rPr>
        <w:t>-</w:t>
      </w:r>
      <w:r>
        <w:rPr>
          <w:lang w:val="en" w:eastAsia="en"/>
        </w:rPr>
        <w:tab/>
      </w:r>
      <w:r>
        <w:rPr>
          <w:lang w:val="el" w:eastAsia="el"/>
        </w:rPr>
        <w:t>Υπουργείο Υποδομών και Μεταφορών</w:t>
      </w:r>
    </w:p>
    <w:p>
      <w:pPr>
        <w:pStyle w:val="PreambelText"/>
        <w:spacing w:before="240" w:after="240"/>
        <w:rPr>
          <w:lang w:val="el" w:eastAsia="el"/>
        </w:rPr>
      </w:pPr>
      <w:r>
        <w:rPr>
          <w:lang w:val="el" w:eastAsia="el"/>
        </w:rPr>
        <w:t>Γενική Γραμματεία Μεταφορών</w:t>
      </w:r>
    </w:p>
    <w:p>
      <w:pPr>
        <w:pStyle w:val="PreambelText"/>
        <w:spacing w:before="240" w:after="240"/>
        <w:rPr>
          <w:lang w:val="el" w:eastAsia="el"/>
        </w:rPr>
      </w:pPr>
      <w:r>
        <w:rPr>
          <w:lang w:val="el" w:eastAsia="el"/>
        </w:rPr>
        <w:t>Γενική Δ/νση Μεταφορών</w:t>
      </w:r>
    </w:p>
    <w:p>
      <w:pPr>
        <w:pStyle w:val="PreambelText"/>
        <w:spacing w:before="240" w:after="240"/>
        <w:rPr>
          <w:lang w:val="el" w:eastAsia="el"/>
        </w:rPr>
      </w:pPr>
      <w:r>
        <w:rPr>
          <w:lang w:val="el" w:eastAsia="el"/>
        </w:rPr>
        <w:t>Δ/νση Συνδυασμένων Μεταφορών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Οδικών Εμπορευματικών Μεταφορών</w:t>
      </w:r>
    </w:p>
    <w:p>
      <w:pPr>
        <w:spacing w:before="240" w:after="240"/>
        <w:rPr>
          <w:lang w:val="el" w:eastAsia="el"/>
        </w:rPr>
      </w:pPr>
      <w:r>
        <w:rPr>
          <w:lang w:val="el" w:eastAsia="el"/>
        </w:rPr>
        <w:t>Αναστάσεως 2 και Τσιγάντε</w:t>
      </w:r>
    </w:p>
    <w:p>
      <w:pPr>
        <w:spacing w:before="240" w:after="240"/>
        <w:rPr>
          <w:lang w:val="el" w:eastAsia="el"/>
        </w:rPr>
      </w:pPr>
      <w:r>
        <w:rPr>
          <w:lang w:val="el" w:eastAsia="el"/>
        </w:rPr>
        <w:t>Τ.Κ. 101-91 Παπάγου</w:t>
      </w:r>
    </w:p>
    <w:p>
      <w:pPr>
        <w:pStyle w:val="StructureList1"/>
        <w:spacing w:before="120" w:after="0"/>
        <w:rPr>
          <w:lang w:val="el" w:eastAsia="el"/>
        </w:rPr>
      </w:pPr>
      <w:r>
        <w:rPr>
          <w:lang w:val="el" w:eastAsia="el"/>
        </w:rPr>
        <w:t>-</w:t>
      </w:r>
      <w:r>
        <w:rPr>
          <w:lang w:val="en" w:eastAsia="en"/>
        </w:rPr>
        <w:tab/>
      </w:r>
      <w:r>
        <w:rPr>
          <w:lang w:val="el" w:eastAsia="el"/>
        </w:rPr>
        <w:t>Συνήγορος του Πολίτη</w:t>
      </w:r>
    </w:p>
    <w:p>
      <w:pPr>
        <w:spacing w:before="240" w:after="240"/>
        <w:rPr>
          <w:lang w:val="el" w:eastAsia="el"/>
        </w:rPr>
      </w:pPr>
      <w:r>
        <w:rPr>
          <w:lang w:val="el" w:eastAsia="el"/>
        </w:rPr>
        <w:t>Χαλκοκονδύλη 17</w:t>
      </w:r>
    </w:p>
    <w:p>
      <w:pPr>
        <w:spacing w:before="240" w:after="240"/>
        <w:rPr>
          <w:lang w:val="el" w:eastAsia="el"/>
        </w:rPr>
      </w:pPr>
      <w:r>
        <w:rPr>
          <w:lang w:val="el" w:eastAsia="el"/>
        </w:rPr>
        <w:t>Τ.Κ. 10432 Αθήνα</w:t>
      </w:r>
    </w:p>
    <w:p>
      <w:pPr>
        <w:pStyle w:val="StructureList1"/>
        <w:spacing w:before="120" w:after="0"/>
        <w:rPr>
          <w:lang w:val="el" w:eastAsia="el"/>
        </w:rPr>
      </w:pPr>
      <w:r>
        <w:rPr>
          <w:lang w:val="el" w:eastAsia="el"/>
        </w:rPr>
        <w:t>-</w:t>
      </w:r>
      <w:r>
        <w:rPr>
          <w:lang w:val="en" w:eastAsia="en"/>
        </w:rPr>
        <w:tab/>
      </w:r>
      <w:r>
        <w:rPr>
          <w:lang w:val="el" w:eastAsia="el"/>
        </w:rPr>
        <w:t>Αποδέκτες Πίνακα Α΄(εκτός των αριθμών 2 και 3)</w:t>
      </w:r>
    </w:p>
    <w:p>
      <w:pPr>
        <w:pStyle w:val="StructureList1"/>
        <w:spacing w:before="120" w:after="0"/>
        <w:rPr>
          <w:lang w:val="el" w:eastAsia="el"/>
        </w:rPr>
      </w:pPr>
      <w:r>
        <w:rPr>
          <w:lang w:val="el" w:eastAsia="el"/>
        </w:rPr>
        <w:t>-</w:t>
      </w:r>
      <w:r>
        <w:rPr>
          <w:lang w:val="en" w:eastAsia="en"/>
        </w:rPr>
        <w:tab/>
      </w:r>
      <w:r>
        <w:rPr>
          <w:lang w:val="el" w:eastAsia="el"/>
        </w:rPr>
        <w:t>Αποδέκτες Πίνακα Β΄(εκτός του αριθμού 2)</w:t>
      </w:r>
    </w:p>
    <w:p>
      <w:pPr>
        <w:pStyle w:val="StructureList1"/>
        <w:spacing w:before="120" w:after="0"/>
        <w:rPr>
          <w:lang w:val="el" w:eastAsia="el"/>
        </w:rPr>
      </w:pPr>
      <w:r>
        <w:rPr>
          <w:lang w:val="el" w:eastAsia="el"/>
        </w:rPr>
        <w:t>-</w:t>
      </w:r>
      <w:r>
        <w:rPr>
          <w:lang w:val="en" w:eastAsia="en"/>
        </w:rPr>
        <w:tab/>
      </w:r>
      <w:r>
        <w:rPr>
          <w:lang w:val="el" w:eastAsia="el"/>
        </w:rPr>
        <w:t>Αποδέκτες Πίνακα Γ΄(εκτός του αριθμού 5)</w:t>
      </w:r>
    </w:p>
    <w:p>
      <w:pPr>
        <w:pStyle w:val="StructureList1"/>
        <w:spacing w:before="120" w:after="0"/>
        <w:rPr>
          <w:lang w:val="el" w:eastAsia="el"/>
        </w:rPr>
      </w:pPr>
      <w:r>
        <w:rPr>
          <w:lang w:val="el" w:eastAsia="el"/>
        </w:rPr>
        <w:t>-</w:t>
      </w:r>
      <w:r>
        <w:rPr>
          <w:lang w:val="en" w:eastAsia="en"/>
        </w:rPr>
        <w:tab/>
      </w:r>
      <w:r>
        <w:rPr>
          <w:lang w:val="el" w:eastAsia="el"/>
        </w:rPr>
        <w:t>Αποδέκτες Πίνακα Ζ΄(εκτός των αριθμών 2, 3 και 4)</w:t>
      </w:r>
    </w:p>
    <w:p>
      <w:pPr>
        <w:pStyle w:val="StructureList1"/>
        <w:spacing w:before="120" w:after="0"/>
        <w:rPr>
          <w:lang w:val="el" w:eastAsia="el"/>
        </w:rPr>
      </w:pPr>
      <w:r>
        <w:rPr>
          <w:lang w:val="el" w:eastAsia="el"/>
        </w:rPr>
        <w:t>-</w:t>
      </w:r>
      <w:r>
        <w:rPr>
          <w:lang w:val="en" w:eastAsia="en"/>
        </w:rPr>
        <w:tab/>
      </w:r>
      <w:r>
        <w:rPr>
          <w:lang w:val="el" w:eastAsia="el"/>
        </w:rPr>
        <w:t>Αποδέκτες Πίνακα Η΄(εκτός των αριθμών 4, 10 και 11)</w:t>
      </w:r>
    </w:p>
    <w:p>
      <w:pPr>
        <w:spacing w:before="240" w:after="240"/>
        <w:rPr>
          <w:lang w:val="el" w:eastAsia="el"/>
        </w:rPr>
      </w:pPr>
      <w:r>
        <w:rPr>
          <w:b/>
          <w:bCs/>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Διοικητή της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Προϊστάμενου Γενικής Διεύθυνσης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Διεύθυνση Ελέγχων – Τμήμα Ε΄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8@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