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10184 Αθήνα Γ. Μπάρλας 210 3375315 210 3375001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d12.a@yo.syzefxis.gov.gr</w:t>
        </w:r>
      </w:hyperlink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Εφαρμογή των διατάξεων της περίπτωσης στ΄ της παραγράφου 2 του άρθρου 12 του ν.4172/2013 (χαρακτηρισμός εισοδήματος από μισθωτές υπηρεσίες)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αφορμή ερωτήματα που έχουν υποβληθεί στην υπηρεσία μας, αναφορικά με το πιο πάνω θέμα, σας γνωρίζουμε τα ακόλουθα: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Σύμφωνα με τις διατάξεις της περ. στ’ της παραγράφου 2 του άρθρου 12 του ν.4172/2013, ως εισόδημα από μισθωτή εργασία και συντάξεις περιλαμβάνεται και αυτό που προκύπτει βάσει έγγραφων συμβάσεων παροχής υπηρεσιών ή συμβάσεων έργου, με φυσικά ή νομικά πρόσωπα ή νομικές οντότητες τα οποία δεν υπερβαίνουν τα τρία (3) ή, εφόσον υπερβαίνουν τον αριθμό αυτόν, ποσοστό εβδομήντα πέντε τοις εκατό (75%) του ακαθάριστου εισοδήματος από επιχειρηματική δραστηριότητα προέρχεται από ένα (1) από τα φυσικά ή νομικά πρόσωπα ή νομικές οντότητες που λαμβάνουν τις εν λόγω υπηρεσίες και εφόσον δεν έχει την εμπορική ιδιότητα, ούτε διατηρεί επαγγελματική εγκατάσταση που είναι διαφορετική από την κατοικία του.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Από την γραμματική διατύπωση των ως άνω διατάξεων δεν προκύπτει ότι οι αντισυμβαλλόμενοι που ορίζει η περ. στ’ της παρ. 2 του άρθρου 12 του ν.4172/2013 (</w:t>
      </w:r>
      <w:r>
        <w:rPr>
          <w:i/>
          <w:iCs/>
          <w:lang w:val="el" w:eastAsia="el"/>
        </w:rPr>
        <w:t>φυσικά ή νομικά πρόσωπα ή νομικές οντότητες τα οποία δεν υπερβαίνουν τα τρία ….</w:t>
      </w:r>
      <w:r>
        <w:rPr>
          <w:lang w:val="el" w:eastAsia="el"/>
        </w:rPr>
        <w:t>) πρέπει να ασκούν επιχειρηματική δραστηριότητα και συνεπώς, οι διατάξεις αυτές έχουν εφαρμογή και στην περίπτωση που οι αντισυμβαλλόμενοι δεν ασκούν επιχειρηματική δραστηριότητα (ιδιώτες).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πινάκα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Διεύθυνση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αναρτηθεί στη ιστοσελίδα της Α.Α.Δ.Ε.)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αναρτηθεί στη Ηλεκτρονική Βιβλιοθήκη)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πινάκων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Α΄(εκτός των αριθμών 2 και 3 αυτού),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Β΄(εκτός των αριθμών 1 και 2 αυτού),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Ζ΄(εκτός των αριθμών 2 και 3 αυτού),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Η΄(εκτός των αριθμών 4, 10 και 11 αυτού),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Κεντρική Υπηρεσία ΣΔΟΕ και τις Περιφερειακές Διευθύνσεις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Εφαρμογής Άμεσης Φορολογίας – Τμήμα Α’ (10)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2.a@yo.syzefxis.gov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