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 ΔΙΟΙΚΗΣΗΣ ΔΙΕΥΘΥΝΣΗ ΕΦΑΡΜΟΓΗΣ ΕΜΜΕΣΗΣ ΦΟΡΟΛΟΓΙΑΣ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Β</w:t>
      </w:r>
    </w:p>
    <w:p>
      <w:pPr>
        <w:spacing w:before="240" w:after="240"/>
        <w:rPr>
          <w:lang w:val="el" w:eastAsia="el"/>
        </w:rPr>
      </w:pPr>
      <w:r>
        <w:rPr>
          <w:lang w:val="el" w:eastAsia="el"/>
        </w:rPr>
        <w:t>:Σίνα 2-4</w:t>
      </w:r>
    </w:p>
    <w:p>
      <w:pPr>
        <w:spacing w:before="240" w:after="240"/>
        <w:rPr>
          <w:lang w:val="el" w:eastAsia="el"/>
        </w:rPr>
      </w:pPr>
      <w:r>
        <w:rPr>
          <w:lang w:val="el" w:eastAsia="el"/>
        </w:rPr>
        <w:t>:10672 Αθήνα</w:t>
      </w:r>
    </w:p>
    <w:p>
      <w:pPr>
        <w:spacing w:before="240" w:after="240"/>
        <w:rPr>
          <w:lang w:val="el" w:eastAsia="el"/>
        </w:rPr>
      </w:pPr>
      <w:r>
        <w:rPr>
          <w:lang w:val="el" w:eastAsia="el"/>
        </w:rPr>
        <w:t>:Β. Ζαρκαδούλα</w:t>
      </w:r>
    </w:p>
    <w:p>
      <w:pPr>
        <w:spacing w:before="240" w:after="240"/>
        <w:rPr>
          <w:lang w:val="el" w:eastAsia="el"/>
        </w:rPr>
      </w:pPr>
      <w:r>
        <w:rPr>
          <w:lang w:val="el" w:eastAsia="el"/>
        </w:rPr>
        <w:t>:2103644781</w:t>
      </w:r>
    </w:p>
    <w:p>
      <w:pPr>
        <w:spacing w:before="240" w:after="240"/>
        <w:rPr>
          <w:lang w:val="el" w:eastAsia="el"/>
        </w:rPr>
      </w:pPr>
      <w:r>
        <w:rPr>
          <w:b/>
          <w:bCs/>
          <w:lang w:val="el" w:eastAsia="el"/>
        </w:rPr>
        <w:t>Θέμα: «Μεταβίβαση Φορτηγών IX οχημάτων που είναι σε ακινησία»</w:t>
      </w:r>
    </w:p>
    <w:p>
      <w:pPr>
        <w:spacing w:before="240" w:after="240"/>
        <w:rPr>
          <w:lang w:val="el" w:eastAsia="el"/>
        </w:rPr>
      </w:pPr>
      <w:r>
        <w:rPr>
          <w:lang w:val="el" w:eastAsia="el"/>
        </w:rPr>
        <w:t>Με την παρούσα παρέχονται οδηγίες για την ορθή φορολογική αντιμετώπιση από πλευράς τελών κυκλοφορίας, των περιπτώσεων μεταβίβασης Φορτηγών ΙΧ οχημάτων, τα οποία ενώ έχουν τεθεί σε προσωρινή ακινησία από τους ιδιοκτήτες τους στις αρμόδιες Υπηρεσίες Υποδομών και Μεταφορών, στη συνέχεια και σε χρόνο μεταγενέστερο του έτους θέσης σε ακινησία, τα μεταβιβάζουν σε νέους ιδιοκτήτες. Στις περιπτώσεις αυτές το Υπ. Υποδ. και Μεταφορών προβαίνει σε άρση της ακινησίας των εν λόγω οχημάτων πριν τη μεταβίβαση. Στην πραγματικότητα η ακινησία αίρεται μόνο «μηχανογραφικά» δηλαδή για τις ανάγκες ορθής απεικόνισης στο σύστημα του Υπουργείου Υποδ. Και Μεταφορών.</w:t>
      </w:r>
    </w:p>
    <w:p>
      <w:pPr>
        <w:spacing w:before="240" w:after="240"/>
        <w:rPr>
          <w:lang w:val="el" w:eastAsia="el"/>
        </w:rPr>
      </w:pPr>
      <w:r>
        <w:rPr>
          <w:lang w:val="el" w:eastAsia="el"/>
        </w:rPr>
        <w:t>Επειδή η υπηρεσία μας έχει δεχθεί σειρά ερωτημάτων αναφορικά με την επιβολή ή μη τελών κυκλοφορίας στις περιπτώσεις αυτές της «συστημικής – μηχανογραφικής» άρσης ακινησίας ΦΙΧ για σκοπούς μεταβίβασης αλλά χωρίς την θέση του οχήματος σε κυκλοφορία, θέτουμε υπόψη σας τα εξής:</w:t>
      </w:r>
    </w:p>
    <w:p>
      <w:pPr>
        <w:spacing w:before="240" w:after="240"/>
        <w:rPr>
          <w:lang w:val="el" w:eastAsia="el"/>
        </w:rPr>
      </w:pPr>
      <w:r>
        <w:rPr>
          <w:lang w:val="el" w:eastAsia="el"/>
        </w:rPr>
        <w:t>1. Σύμφωνα με τις διατάξεις του άρθρου 4 του ν. 2367/1953 (82 Α΄) όπως ισχύει, ουδέν όχημα επιτρέπεται να κυκλοφορεί στη Χώρα παρά μόνο εφόσον έχει ταξινομηθεί στη Χώρα κι έχει εφοδιασθεί με άδεια και πινακίδες κυκλοφορίας.</w:t>
      </w:r>
    </w:p>
    <w:p>
      <w:pPr>
        <w:spacing w:before="240" w:after="240"/>
        <w:rPr>
          <w:lang w:val="el" w:eastAsia="el"/>
        </w:rPr>
      </w:pPr>
      <w:r>
        <w:rPr>
          <w:lang w:val="el" w:eastAsia="el"/>
        </w:rPr>
        <w:t>2. Περαιτέρω, σύμφωνα με τις διατάξεις του άρθρου 12 του ίδιου ως άνω νόμου, κάθε όχημα το οποίο κυκλοφορεί στη Χώρα υπόκειται σε τέλη κυκλοφορίας σύμφωνα με τις κείμενες διατάξεις.</w:t>
      </w:r>
    </w:p>
    <w:p>
      <w:pPr>
        <w:spacing w:before="240" w:after="240"/>
        <w:rPr>
          <w:lang w:val="el" w:eastAsia="el"/>
        </w:rPr>
      </w:pPr>
      <w:r>
        <w:rPr>
          <w:lang w:val="el" w:eastAsia="el"/>
        </w:rPr>
        <w:t>3. Η μόνη περίπτωση κατά την οποία δεν οφείλονται τέλη κυκλοφορίας (εκπίπτουν των τελών κυκλοφορίας), σύμφωνα με τις διατάξεις του αρ. 22 του ν.2367/1953, όπως ισχύει, είναι όταν τεθεί ένα όχημα σε ακινησία παραδίδοντας ταυτόχρονα, εμπρόθεσμα, τα στοιχεία κυκλοφορίας του οχήματος (άδεια και πινακίδες) στην αρμόδια αρχή.</w:t>
      </w:r>
    </w:p>
    <w:p>
      <w:pPr>
        <w:spacing w:before="240" w:after="240"/>
        <w:rPr>
          <w:lang w:val="el" w:eastAsia="el"/>
        </w:rPr>
      </w:pPr>
      <w:r>
        <w:rPr>
          <w:lang w:val="el" w:eastAsia="el"/>
        </w:rPr>
        <w:t xml:space="preserve">4. Σύμφωνα με τις ίδιες ως άνω διατάξεις, σε περίπτωση διακοπής της ακινησίας </w:t>
      </w:r>
      <w:r>
        <w:rPr>
          <w:u w:val="single"/>
          <w:lang w:val="el" w:eastAsia="el"/>
        </w:rPr>
        <w:t>με σκοπό την</w:t>
      </w:r>
      <w:r>
        <w:rPr>
          <w:u w:val="single"/>
          <w:lang w:val="el" w:eastAsia="el"/>
        </w:rPr>
        <w:t>κυκλοφορία του οχήματος</w:t>
      </w:r>
      <w:r>
        <w:rPr>
          <w:lang w:val="el" w:eastAsia="el"/>
        </w:rPr>
        <w:t xml:space="preserve">, </w:t>
      </w:r>
      <w:r>
        <w:rPr>
          <w:u w:val="single"/>
          <w:lang w:val="el" w:eastAsia="el"/>
        </w:rPr>
        <w:t>δηλαδή της επιστροφής των στοιχείων κυκλοφορίας στον κάτοχο</w:t>
      </w:r>
      <w:r>
        <w:rPr>
          <w:lang w:val="el" w:eastAsia="el"/>
        </w:rPr>
        <w:t>, τότε υποχρεωτικά καταβάλλονται, κατά την άρση της ακινησίας, τα αντίστοιχα κατά περίπτωση τέλη κυκλοφορίας, σύμφωνα με τις κείμενες διατάξεις.</w:t>
      </w:r>
    </w:p>
    <w:p>
      <w:pPr>
        <w:spacing w:before="240" w:after="240"/>
        <w:rPr>
          <w:lang w:val="el" w:eastAsia="el"/>
        </w:rPr>
      </w:pPr>
      <w:r>
        <w:rPr>
          <w:lang w:val="el" w:eastAsia="el"/>
        </w:rPr>
        <w:t>5. Τέλος, σύμφωνα με τις διατάξεις της υποπαρ. Ε7 του άρθρου πρώτου του ν.4093/2012 (222 Α΄), δεν επέρχεται μεταβίβαση αυτοκινήτου οχήματος εάν προηγουμένως δεν έχουν καταβληθεί τα τέλη κυκλοφορίας του έτους της μεταβίβασης καθώς και παρελθόντων ετών μαζί με τα τυχόν πρόστιμα , από τον τελευταίο κάτοχο.</w:t>
      </w:r>
    </w:p>
    <w:p>
      <w:pPr>
        <w:spacing w:before="240" w:after="240"/>
        <w:rPr>
          <w:lang w:val="el" w:eastAsia="el"/>
        </w:rPr>
      </w:pPr>
      <w:r>
        <w:rPr>
          <w:b/>
          <w:bCs/>
          <w:lang w:val="el" w:eastAsia="el"/>
        </w:rPr>
        <w:t xml:space="preserve">Από τα ανωτέρω συμπεραίνεται ότι για τα φορτηγά IX οχήματα, τα οποία έχουν τεθεί σε ακινησία κατά τα ανωτέρω και στη </w:t>
      </w:r>
      <w:r>
        <w:rPr>
          <w:b/>
          <w:bCs/>
          <w:u w:val="single"/>
          <w:lang w:val="el" w:eastAsia="el"/>
        </w:rPr>
        <w:t>συνέχεια σε χρόνο μεταγενέστερο του έτους της ακινησίας, μεταβιβάζονται χωρίς να τίθενται σε κυκλοφορία και κατά συνέπεια αίρεται μεν η ακινησία αλλά μόνο για τις ανάγκες ενημέρωσης του συστήματος</w:t>
      </w:r>
      <w:r>
        <w:rPr>
          <w:b/>
          <w:bCs/>
          <w:lang w:val="el" w:eastAsia="el"/>
        </w:rPr>
        <w:t xml:space="preserve"> (γεγονός που βεβαιώνεται από την αρμόδια για την ακινησία αρχή) τότε δεν οφείλονται τέλη κυκλοφορίας κατά την άρση.</w:t>
      </w:r>
    </w:p>
    <w:p>
      <w:pPr>
        <w:spacing w:before="240" w:after="240"/>
        <w:rPr>
          <w:lang w:val="el" w:eastAsia="el"/>
        </w:rPr>
      </w:pPr>
      <w:r>
        <w:rPr>
          <w:b/>
          <w:bCs/>
          <w:lang w:val="el" w:eastAsia="el"/>
        </w:rPr>
        <w:t>Ο ΔΙΟΙΚΗΤΗΣ ΤΗΣ ΑΝΕΞΑΡΤΗΤΗΣ ΑΡΧΗΣ ΔΗΜΟΣΙΩΝ ΕΣΟΔΩΝ 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u w:val="single"/>
          <w:lang w:val="el" w:eastAsia="el"/>
        </w:rPr>
        <w:t>ΑΠΟΔΕΚΤΕΣ ΓΙΑ ΕΝΕΡΓΕΙΑ:</w:t>
      </w:r>
    </w:p>
    <w:p>
      <w:pPr>
        <w:spacing w:before="240" w:after="240"/>
        <w:rPr>
          <w:lang w:val="el" w:eastAsia="el"/>
        </w:rPr>
      </w:pPr>
      <w:r>
        <w:rPr>
          <w:lang w:val="el" w:eastAsia="el"/>
        </w:rPr>
        <w:t>-Όλες τις Δ.Ο.Υ. και τα ελεγκτικά κέντρα</w:t>
      </w:r>
    </w:p>
    <w:p>
      <w:pPr>
        <w:spacing w:before="240" w:after="240"/>
        <w:rPr>
          <w:lang w:val="el" w:eastAsia="el"/>
        </w:rPr>
      </w:pPr>
      <w:r>
        <w:rPr>
          <w:b/>
          <w:bCs/>
          <w:u w:val="single"/>
          <w:lang w:val="el" w:eastAsia="el"/>
        </w:rPr>
        <w:t>ΑΠΟΔΕΚΤΕΣ ΓΙΑ ΚΟΙΝΟΠΟΙΗΣΗ:</w:t>
      </w:r>
    </w:p>
    <w:p>
      <w:pPr>
        <w:spacing w:before="240" w:after="240"/>
        <w:rPr>
          <w:lang w:val="el" w:eastAsia="el"/>
        </w:rPr>
      </w:pPr>
      <w:r>
        <w:rPr>
          <w:lang w:val="el" w:eastAsia="el"/>
        </w:rPr>
        <w:t>Υπουργείο Υποδομών και Μεταφορών</w:t>
      </w:r>
    </w:p>
    <w:p>
      <w:pPr>
        <w:pStyle w:val="Heading1"/>
        <w:spacing w:before="240" w:after="240"/>
        <w:rPr>
          <w:lang w:val="el" w:eastAsia="el"/>
        </w:rPr>
      </w:pPr>
      <w:r>
        <w:rPr>
          <w:lang w:val="el" w:eastAsia="el"/>
        </w:rPr>
        <w:t xml:space="preserve">Τμήμα </w:t>
      </w:r>
    </w:p>
    <w:p>
      <w:pPr>
        <w:pStyle w:val="Heading1"/>
        <w:spacing w:before="240" w:after="240"/>
        <w:rPr>
          <w:lang w:val="el" w:eastAsia="el"/>
        </w:rPr>
      </w:pPr>
      <w:r>
        <w:rPr>
          <w:lang w:val="el" w:eastAsia="el"/>
        </w:rPr>
        <w:t>Οδικών Εμπορευματικών Μεταφορών</w:t>
      </w:r>
    </w:p>
    <w:p>
      <w:pPr>
        <w:spacing w:before="240" w:after="240"/>
        <w:rPr>
          <w:lang w:val="el" w:eastAsia="el"/>
        </w:rPr>
      </w:pPr>
      <w:r>
        <w:rPr>
          <w:lang w:val="el" w:eastAsia="el"/>
        </w:rPr>
        <w:t>Αναστάσεως 2 και Τσιγάντε ΤΚ10191</w:t>
      </w:r>
    </w:p>
    <w:p>
      <w:pPr>
        <w:spacing w:before="240" w:after="240"/>
        <w:rPr>
          <w:lang w:val="el" w:eastAsia="el"/>
        </w:rPr>
      </w:pPr>
      <w:r>
        <w:rPr>
          <w:lang w:val="el" w:eastAsia="el"/>
        </w:rPr>
        <w:t>Παπάγου</w:t>
      </w:r>
    </w:p>
    <w:p>
      <w:pPr>
        <w:spacing w:before="240" w:after="240"/>
        <w:rPr>
          <w:lang w:val="el" w:eastAsia="el"/>
        </w:rPr>
      </w:pP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Γραφείο Γεν. Διευθυντή Φορολογικής Διοίκησης</w:t>
      </w:r>
    </w:p>
    <w:p>
      <w:pPr>
        <w:spacing w:before="240" w:after="240"/>
        <w:rPr>
          <w:lang w:val="el" w:eastAsia="el"/>
        </w:rPr>
      </w:pPr>
      <w:r>
        <w:rPr>
          <w:lang w:val="el" w:eastAsia="el"/>
        </w:rPr>
        <w:t>3. Γραφεία κ.κ. Γενικών Δ/ντών</w:t>
      </w:r>
    </w:p>
    <w:p>
      <w:pPr>
        <w:spacing w:before="240" w:after="240"/>
        <w:rPr>
          <w:lang w:val="el" w:eastAsia="el"/>
        </w:rPr>
      </w:pPr>
      <w:r>
        <w:rPr>
          <w:lang w:val="el" w:eastAsia="el"/>
        </w:rPr>
        <w:t>4. Δ/νση Διαχείρισης Ανθρωπίνου Δυναμικού</w:t>
      </w:r>
    </w:p>
    <w:p>
      <w:pPr>
        <w:spacing w:before="240" w:after="240"/>
        <w:rPr>
          <w:lang w:val="el" w:eastAsia="el"/>
        </w:rPr>
      </w:pPr>
      <w:r>
        <w:rPr>
          <w:lang w:val="el" w:eastAsia="el"/>
        </w:rPr>
        <w:t>5. Δ/νση Ηλεκτρονικής Διακυβέρνησης ΑΑΔΕ</w:t>
      </w:r>
    </w:p>
    <w:p>
      <w:pPr>
        <w:spacing w:before="240" w:after="240"/>
        <w:rPr>
          <w:lang w:val="el" w:eastAsia="el"/>
        </w:rPr>
      </w:pPr>
      <w:r>
        <w:rPr>
          <w:lang w:val="el" w:eastAsia="el"/>
        </w:rPr>
        <w:t>6. Δ/νση Υποστήριξης Ηλεκτρονικών Υπηρεσιών</w:t>
      </w:r>
    </w:p>
    <w:p>
      <w:pPr>
        <w:spacing w:before="240" w:after="240"/>
        <w:rPr>
          <w:lang w:val="el" w:eastAsia="el"/>
        </w:rPr>
      </w:pPr>
      <w:r>
        <w:rPr>
          <w:lang w:val="el" w:eastAsia="el"/>
        </w:rPr>
        <w:t>7. Δ/νση Νομικής Υποστήριξης ΑΑΔΕ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