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ΛΑΛΕ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Ανεξάρτητη Αρχή Δημοσίων Εσόδων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ΑΔΑ: ΨΒΗ0Η-ΣΩΦ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Δ/ΝΣΗ ΦΟΡΟΛΟΓΙΚΗΣ ΔΙΟΙΚΗΣΗΣ ΔΙΕΥΘΥΝΣΗ ΕΦΑΡΜΟΓΗΣ ΕΜΜΕΣΗΣ ΦΟΡ. ΤΜΗΜΑ Β’ ΤΕΛΩΝ ΚΑΙ ΕΙΔΙΚΩΝ ΦΟΡ.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Αθήνα, 13 Σεπτεμβρίου 2017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ΠΟΛ. 1141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Κώδικας Πληροφορίες Τηλέφωνο Fax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Σίνα 2- 4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106 72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Ν. Ζωγραφάκης, Ο. Κολοβού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210-3602480, 210-3642922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210-3645413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Ως Πίνακας Διανομής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Κοινοποίηση διατάξεων του άρθρου 80 παρ. 3 του ν. 4484/2017 (Α΄110)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Κοινοποιούμε για ενημέρωση και εφαρμογή τις διατάξεις της παρ. 3 του άρθρου 80 του ν. 4484/2017 (Α΄110), με το οποίο προστίθεται νέο εδάφιο στο τέλος της παρ. 12 του άρθρου 27Α του ν. 4172/ 2013 (Α` 167),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«Η προμήθεια του άρθρου αυτού συνιστά δικαίωμα υπέρ του Δημοσίου κατά την έννοια της παρ. 19 του άρθρου 15 του π.δ. της 28.7.1931 "Περί κώδικος των νόμων περί τελών χαρτοσήμου" (Α` 239)».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Κατά συνέπεια, σύμφωνα με την παραπάνω διάταξη, η προμήθεια για το υπερβάλλον ποσό της εγγυημένης από το Ελληνικό Δημόσιο αναβαλλόμενης φορολογικής απαίτησης, που καταβάλλεται σύμφωνα με τα οριζόμενα στο αρ. 27Α του ν. 4172/2013 υπέρ του Ελληνικού Δημοσίου, απαλλάσσεται των τελών χαρτοσήμου.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ΔΙΟΙΚΗΤΗΣ ΑΝΕΞΑΡΤΗΤΗΣ ΑΡΧΗΣ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Γ΄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Δ/νση Υποστήριξης Ηλεκτρονικών Υπηρεσιών για ανάρτηση στην ιστοσελίδα της ΑΑΔΕ.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Β΄ αρ. 3 και 3.1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Αποδέκτες Πίνακα Ζ΄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Αποδέκτες Πίνακα Ι’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Αποδέκτες Πίνακα ΙΒ΄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 Διοικητή Ανεξάρτητης Αρχής Δημοσίων Εσόδων.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κ. Γενικού Διευθυντή Φορολογικής Διοίκησης.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Δ/νση Νομικής Υποστήριξης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Διεύθυνση Ηλεκτρονικής Διακυβέρνησης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Δ/νση Εφαρμογής Έμμεσης Φορολογίας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