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 : «Συμπλήρωση της ΠΟΛ 1092/2014 αναφορικά με την εφαρμογή των διατάξεων του άρθρου 30 παρ. 4 του ν.δ. 356/1974 (ΚΕΔΕ) περί περιορισμού κατασχέσεων στα χέρια τρίτων»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συνέχεια της ανωτέρω ΠΟΛ επισημαίνονται τα ακόλουθα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Στις ενδεικτικές εξαιρετικές περιπτώσεις για τον περιορισμό της κατάσχεσης πλην της μακροχρόνιας ανεργίας χωρίς άλλες πηγές εισοδημάτων του οφειλέτη ή της συζύγου και των σοβαρών προβλημάτων της υγείας αυτού ή της συζύγου του, περιλαμβάνεται και η χορήγηση προνοιακών ή άλλων «κοινωνικών» επιδομάτων και βοηθημάτων.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Περαιτέρω, επισημαίνεται ότι στην περίπτωση που διαπιστώνεται ότι έχει επιβληθεί κατάσχεση σε (ατομικό ή κοινό) τραπεζικό λογαριασμό (ανεξάρτητα από το αν έχει δηλωθεί ως ακατάσχετος ή όχι) επί καταθέσεων προερχομένων από καταβολή προνοιακού ή άλλου «κοινωνικού επιδόματος» ή βοηθήματος, η κατάσχεση περιορίζεται, μετά από αίτηση του οφειλέτη, αποδεσμεύοντας το σύνολο του δεσμευθέντος κατά τα ανωτέρω ποσού, εφόσον κατά την κείμενη νομοθεσία τα ανωτέρω επιδόματα/βοηθήματα προβλέπονται ρητώς ως ακατάσχετα (πχ επίδομα κοινωνικού εισοδήματος αλληλεγγύης, επίδομα ανεργίας ΟΑΕΔ, επίδομα θέρμανσης, διατροφή ανηλίκου τέκνου κλπ). Η αποδέσμευση του συνόλου του δεσμευθέντος ποσού επιδόματος/ βοηθήματος ισχύει και στην περίπτωση που ως δικαιούχος ή συνδικαιούχος του κατασχεθέντος τραπεζικού λογαριασμού αναγράφεται υποχρεωτικά τρίτο πρόσωπο, όπως ο δικαστικός συμπαραστάτης του δικαστικώς συμπαραστατούμενου τέκνου ή ένας εκ των δύο γονέων στην περίπτωση διατροφής ανηλίκου τέκνου.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Τέλος, περί της δυνατότητας άσκησης δειγματοληπτικού ελέγχου σημειώνονται τα ακόλουθα: Αντίγραφο των στοιχείων της απόφασης περιορισμού κατασχετηρίου θα κοινοποιείται αυθημερόν ηλεκτρονικά ή μέσω τηλεμοιοτυπίας (fax) στις αρμόδιες κατά τόπους Φορολογικές Περιφέρειες συμπληρώνοντας το συνημμένο σχέδιο εφόσον ζητηθεί, προκειμένου να πραγματοποιείται δειγματοληπτικός έλεγχος για την τήρηση των ως άνω προϋποθέσεων.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Κατά τα λοιπά ισχύει η ΠΟΛ 1092/2014.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ΑΝΕΞΑΡΤΗΤΗΣ ΑΡΧΗΣΔΗΜΟΣΙΩΝ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Δημόσιες Οικονομικές Υπηρεσίες (Δ.Ο.Υ.)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Κέντρο Ελέγχου Μεγάλων Επιχειρήσεων (Κ.Ε.ΜΕ.ΕΠ.)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Κέντρο Ελέγχου Φορολογουμένων Μεγάλου Πλούτου (Κ.Ε.ΦΟ.ΜΕ.Π.)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Επιχειρησιακή Μονάδα Είσπραξης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Τελωνεία και Τοπικά Γραφεία αυτών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Διεύθυνση Υποστήριξης Ηλεκτρονικών Υπηρεσιών (με την παράκληση να αναρτηθεί στο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www.publicrevenue.gr</w:t>
        </w:r>
        <w:r>
          <w:rPr>
            <w:rStyle w:val="Hyperlink"/>
            <w:color w:val="0000EE"/>
            <w:u w:color="0000EE"/>
            <w:lang w:val="el" w:eastAsia="el"/>
          </w:rPr>
          <w:t>)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Συνημμένο </w:t>
      </w:r>
      <w:r>
        <w:rPr>
          <w:lang w:val="el" w:eastAsia="el"/>
        </w:rPr>
        <w:t>: Σχέδιο απόφασης περί περιορισμού κατασχέσεων στα χέρια τρίτων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 Αποδέκτες πινάκων Α-Δ (πλην των αποδεκτών προς ενέργεια)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. Ελληνική Ένωση Τραπεζών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 .Ελληνική Ένωση Συνεταιριστικών Τραπεζών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 .ΠΟΕ –Δ.O.Y. Περιοδικό Φορολογικής Επιθεώρησης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κας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Διοικητή της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Γραφεία κ.κ. Γενικών Διευθυντών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Διεύθυνση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Διεύθυνση Ηλεκτρονικής Διακυβέρνησης (e Εφαρμογές)- Τμήματα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Διεύθυνση Εισπράξεων, Τμήματα Α-Ε, Γραμματεία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ublicrevenu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