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b/>
          <w:bCs/>
          <w:lang w:val="el" w:eastAsia="el"/>
        </w:rPr>
        <w:t>Θέμα: Κοινοποίηση των διατάξεων του άρθρου 69 του ν. 4484/2017 (ΦΕΚ 110 Α΄) για την διαγραφή οχημάτων με άδεια εκδοθείσα πριν την 4.3.2004, από το Μητρώο Οχημάτων του Υπουργείου Υποδομών &amp; Μεταφορών, κατά το μέρος που αφορά τα τέλη κυκλοφορίας.</w:t>
      </w:r>
    </w:p>
    <w:p>
      <w:pPr>
        <w:spacing w:before="240" w:after="240"/>
        <w:rPr>
          <w:lang w:val="el" w:eastAsia="el"/>
        </w:rPr>
      </w:pPr>
      <w:r>
        <w:rPr>
          <w:b/>
          <w:bCs/>
          <w:lang w:val="el" w:eastAsia="el"/>
        </w:rPr>
        <w:t>Α. Δ/ΝΣΗ ΕΦΑΡΜΟΓΗΣ ΕΜΜΕΣΗΣ ΦΟΡΟΛΟΓΙΑΣ</w:t>
      </w:r>
    </w:p>
    <w:p>
      <w:pPr>
        <w:spacing w:before="240" w:after="240"/>
        <w:rPr>
          <w:lang w:val="el" w:eastAsia="el"/>
        </w:rPr>
      </w:pPr>
      <w:r>
        <w:rPr>
          <w:lang w:val="el" w:eastAsia="el"/>
        </w:rPr>
        <w:t>Με το άρθρο 69 του ν. 4484/2017 προστέθηκε παράγραφος 6 στο άρθρο 8 του 116/2004 (ΦΕΚ 81 Α΄) δίνοντας τη δυνατότητα στους ιδιοκτήτες οχημάτων με άδεια πριν την 4.3.2004, τα οποία δεν βρίσκονται στην κατοχή τους διότι δόθηκαν για καταστροφή, διάλυση ή αχρήστευση έως την ίδια ημερομηνία (4.3.2004), να υποβάλλουν υπεύθυνη δήλωση - αίτηση διαγραφής από το Μητρώο Οχημάτων του Υπουργείου Υποδομών &amp; Μεταφορών, χωρίς την προσκόμιση Πιστοποιητικού Καταστροφής του οχήματος.</w:t>
      </w:r>
    </w:p>
    <w:p>
      <w:pPr>
        <w:spacing w:before="240" w:after="240"/>
        <w:rPr>
          <w:lang w:val="el" w:eastAsia="el"/>
        </w:rPr>
      </w:pPr>
      <w:r>
        <w:rPr>
          <w:lang w:val="el" w:eastAsia="el"/>
        </w:rPr>
        <w:t>Υπενθυμίζεται ότι με το ανωτέρω π.δ. 116/2004 «Εναλλακτική διαχείριση οχημάτων - ανταλλακτικών καταλυτικών μετατροπέων κλπ», το οποίο τέθηκε σε ισχύ από 5.3.2004, ενσωματώθηκε στην εσωτερική έννομη τάξη το σχετικό θεσμικό πλαίσιο όπως θεσπίστηκε με την κοινοτική Οδηγία 2000/53. Ως συνέπεια της εφαρμογής των σχετικών διατάξεων, από 5.3.2004 κι εφεξής κατέστη υποχρεωτική, στο πλαίσιο υποβολής αιτήματος διαγραφής οχήματος, η προσκόμιση Πιστοποιητικού Καταστροφής από εγκεκριμένο φορέα εναλλακτικής διαχείρισης. Κατά συνέπεια, όσοι προσήλθαν μετά την 4.3.2004 στις αρμόδιες υπηρεσίες του Υπουργείου Μεταφορών ζητώντας διαγραφή οχήματος λόγω καταστροφής κλπ η οποία έλαβε χώρα έως την ίδια ημερομηνία, δεν μπόρεσαν να διαγράψουν το όχημά τους λόγω έναρξης ισχύος του νέου θεσμικού πλαισίου.</w:t>
      </w:r>
    </w:p>
    <w:p>
      <w:pPr>
        <w:spacing w:before="240" w:after="240"/>
        <w:rPr>
          <w:lang w:val="el" w:eastAsia="el"/>
        </w:rPr>
      </w:pPr>
      <w:r>
        <w:rPr>
          <w:lang w:val="el" w:eastAsia="el"/>
        </w:rPr>
        <w:t>Με την προσθήκη της παρ. 6 στο άρθρο 8 του Π.Δ. δίνεται η δυνατότητα στους παραπάνω ιδιοκτήτες οχημάτων να προσέλθουν σήμερα στις αρμόδιες υπηρεσίες και να αιτηθούν με υποβολή υπεύθυνης δήλωσης την διαγραφή του οχήματός τους για τους παραπάνω προαναφερθέντες λόγους.</w:t>
      </w:r>
    </w:p>
    <w:p>
      <w:pPr>
        <w:spacing w:before="240" w:after="240"/>
        <w:rPr>
          <w:lang w:val="el" w:eastAsia="el"/>
        </w:rPr>
      </w:pPr>
      <w:r>
        <w:rPr>
          <w:lang w:val="el" w:eastAsia="el"/>
        </w:rPr>
        <w:t>Δεδομένου ότι από την εφαρμογή της ανωτέρω διάταξης ανακύπτουν ζητήματα που αφορούν στην φορολογία τελών κυκλοφορίας, ορισμένα από τα οποία ρυθμίζονται ευθέως από τις διατάξεις του άρθρου 69 ενώ άλλα προκύπτουν από τις λοιπές ισχύουσες περί τελών κυκλοφορίας διατάξεις, παρέχονται οι κάτωθι οδηγίες για την ορθή και ομοιόμορφη εφαρμογή τους από τις Δ.Ο.Υ.:</w:t>
      </w:r>
    </w:p>
    <w:p>
      <w:pPr>
        <w:spacing w:before="240" w:after="240"/>
        <w:rPr>
          <w:lang w:val="el" w:eastAsia="el"/>
        </w:rPr>
      </w:pPr>
      <w:r>
        <w:rPr>
          <w:lang w:val="el" w:eastAsia="el"/>
        </w:rPr>
        <w:t xml:space="preserve">1. Σύμφωνα με την υποπαράγραφο 6.3 του άρθρου 8 του ΠΔ 116/2004, στον αιτούντα χορηγείται, εφόσον γίνει δεκτή η υπεύθυνη δήλωση/αίτηση διαγραφής και ολοκληρωθεί η διαδικασία διαγραφής, βεβαίωση με ημερομηνία 4.3.2004, εκτός εάν από </w:t>
      </w:r>
      <w:r>
        <w:rPr>
          <w:u w:val="single"/>
          <w:lang w:val="el" w:eastAsia="el"/>
        </w:rPr>
        <w:t>επίσημο δημόσιο έγγραφο</w:t>
      </w:r>
      <w:r>
        <w:rPr>
          <w:lang w:val="el" w:eastAsia="el"/>
        </w:rPr>
        <w:t xml:space="preserve"> που συνυποβάλλεται με την υπεύθυνη δήλωση/αίτηση διαγραφής, αποδεικνύεται ότι η καταστροφή, διάλυση ή αχρήστευση πραγματοποιήθηκε πριν την ημερομηνία αυτή. Τέτοια περίπτωση μπορεί να είναι π.χ. η βεβαίωση της Πυροσβεστικής με την οποία πιστοποιείται η καταστροφή του οχήματος λόγω πυρκαγιάς κλπ, ή αντίστοιχα της Αστυνομίας, η οποία ενώ έχει ημερομηνία προγενέστερη της 4.3.2004, προσκομίστηκε στην αρμόδια υπηρεσία στα πλαίσια αιτήματος διαγραφής, μετά την ημερομηνία αυτή και ενώ είχε τεθεί σε ισχύ το νέο θεσμικό πλαίσιο που απαιτούσε την προσκόμιση Πιστοποιητικού Καταστροφής από εγκεκριμένο ανακυκλωτή. Στις περιπτώσεις αυτές ως ημερομηνία διαγραφής ορίζεται η ημερομηνία που προκύπτει από το δημόσιο έγγραφο.</w:t>
      </w:r>
    </w:p>
    <w:p>
      <w:pPr>
        <w:spacing w:before="240" w:after="240"/>
        <w:rPr>
          <w:lang w:val="el" w:eastAsia="el"/>
        </w:rPr>
      </w:pPr>
      <w:r>
        <w:rPr>
          <w:lang w:val="el" w:eastAsia="el"/>
        </w:rPr>
        <w:t>Εφόσον υπάρχουν οφειλές από τέλη κυκλοφορίας για τα έτη που προηγούνται της ημερομηνίας διαγραφής, τα σχετικά ποσά αναζητούνται, όμως η τυχόν ύπαρξη οφειλών για τα έτη αυτά δεν εμποδίζει την ολοκλήρωση της διαδικασίας διαγραφής.</w:t>
      </w:r>
    </w:p>
    <w:p>
      <w:pPr>
        <w:spacing w:before="240" w:after="240"/>
        <w:rPr>
          <w:lang w:val="el" w:eastAsia="el"/>
        </w:rPr>
      </w:pPr>
      <w:r>
        <w:rPr>
          <w:lang w:val="el" w:eastAsia="el"/>
        </w:rPr>
        <w:t xml:space="preserve">Οι Περιφερειακές υπηρεσίες του Υπουργείου Υποδομών &amp; Μεταφορών κατά την παραλαβή του αιτήματος, ενημερώνουν μεν τον αιτούντα σχετικά με τη </w:t>
      </w:r>
      <w:r>
        <w:rPr>
          <w:b/>
          <w:bCs/>
          <w:u w:val="single"/>
          <w:lang w:val="el" w:eastAsia="el"/>
        </w:rPr>
        <w:t>μη διαγραφή</w:t>
      </w:r>
      <w:r>
        <w:rPr>
          <w:b/>
          <w:bCs/>
          <w:lang w:val="el" w:eastAsia="el"/>
        </w:rPr>
        <w:t>τυχόν μη παραγεγραμμένων οφειλών (σήμερα για τα έτη από το 1997, λόγω εικοσαετούς παραγραφής) έως και το έτος διαγραφής (2004 ή προγενέστερο κατά τα αναφερόμενα στην παρ.1 του παρόντος), αλλά διεκπεραιώνουν την αίτηση κανονικά, εφόσον πληρούνται και οι λοιπές προϋποθέσεις του νόμου.</w:t>
      </w:r>
    </w:p>
    <w:p>
      <w:pPr>
        <w:spacing w:before="240" w:after="240"/>
        <w:rPr>
          <w:lang w:val="el" w:eastAsia="el"/>
        </w:rPr>
      </w:pPr>
      <w:r>
        <w:rPr>
          <w:b/>
          <w:bCs/>
          <w:lang w:val="el" w:eastAsia="el"/>
        </w:rPr>
        <w:t>Οι οφειλές αυτές, εφόσον διαπιστωθούν και βεβαιωθούν, δύναται να υπαχθούν σε ρύθμιση τμηματικής καταβολής σύμφωνα με τις κείμενες διατάξεις.</w:t>
      </w:r>
    </w:p>
    <w:p>
      <w:pPr>
        <w:spacing w:before="240" w:after="240"/>
        <w:rPr>
          <w:lang w:val="el" w:eastAsia="el"/>
        </w:rPr>
      </w:pPr>
      <w:r>
        <w:rPr>
          <w:b/>
          <w:bCs/>
          <w:lang w:val="el" w:eastAsia="el"/>
        </w:rPr>
        <w:t>2. Η ολοκλήρωση της διαδικασίας διαγραφής κατά τα ανωτέρω, συνεπάγεται την διαγραφή τυχόν οφειλόμενων τελών κυκλοφορίας και των σχετικών προστίμων τους, για τα έτη που έπονται της διαγραφής. Δεδομένου λοιπόν ότι η διαγραφή, θα λαμβάνει χώρα πάντοτε με ημερομηνία 4.3.2004 (σύμφωνα με την υποπαρ. 6.3 του άρθρου 8), τα τυχόν οφειλόμενα ή και βεβαιωμένα τέλη κυκλοφορίας και τα σχετικά πρόστιμα, για τα έτη 2005 έως και 2017, θα διαγράφονται. Στην περίπτωση που η διαγραφή του οχήματος συντελείται με ημερομηνία προγενέστερη της 4.3.2004, λόγω προσκόμισης επίσημου δημόσιου εγγράφου που πιστοποιεί την καταστροφή, διάλυση ή αχρήστευση του οχήματος, τότε η διαγραφή των τελών κυκλοφορίας μετά των προστίμων τους αφορά τα επόμενα έτη από την ημερομηνία συντέλεσης της διαγραφής του.</w:t>
      </w:r>
    </w:p>
    <w:p>
      <w:pPr>
        <w:spacing w:before="240" w:after="240"/>
        <w:rPr>
          <w:lang w:val="el" w:eastAsia="el"/>
        </w:rPr>
      </w:pPr>
      <w:r>
        <w:rPr>
          <w:b/>
          <w:bCs/>
          <w:lang w:val="el" w:eastAsia="el"/>
        </w:rPr>
        <w:t>3. Τέλος, σύμφωνα με ρητή πρόβλεψη του νόμου (υποπαρ. 6.1 του άρθρου 8), δεν επιστρέφονται τέλη κυκλοφορίας τα οποία τυχόν καταβλήθηκαν κατά τα έτη που έπονται της διαγραφής του οχήματος.</w:t>
      </w:r>
    </w:p>
    <w:p>
      <w:pPr>
        <w:spacing w:before="240" w:after="240"/>
        <w:rPr>
          <w:lang w:val="el" w:eastAsia="el"/>
        </w:rPr>
      </w:pPr>
      <w:r>
        <w:rPr>
          <w:b/>
          <w:bCs/>
          <w:lang w:val="el" w:eastAsia="el"/>
        </w:rPr>
        <w:t>Β. Δ/ΝΣΗ ΗΛΕΚΤΡΟΝΙΚΗΣ ΔΙΑΚΥΒΕΡΝΗΣΗΣ</w:t>
      </w:r>
    </w:p>
    <w:p>
      <w:pPr>
        <w:spacing w:before="240" w:after="240"/>
        <w:rPr>
          <w:lang w:val="el" w:eastAsia="el"/>
        </w:rPr>
      </w:pPr>
      <w:r>
        <w:rPr>
          <w:b/>
          <w:bCs/>
          <w:lang w:val="el" w:eastAsia="el"/>
        </w:rPr>
        <w:t>Οι Δ.Ο.Υ. λαμβάνουν κάθε μήνα ενημέρωση από την ΔΗΛΕΔ, μέσω αρχείου ή εφαρμογής, για τα οχήματα που διαγράφηκαν από το Μητρώο Οχημάτων του Υπουργείου Υποδομών &amp; Μεταφορών, σύμφωνα με την διαδικασία του άρθρου 69 του ν. 4484/2017, και προβαίνουν σε έλεγχο και βεβαίωση τυχόν οφειλόμενων τελών κυκλοφορίας και των προστίμων τους για τα μη παραγεγραμμένα έτη (σήμερα, για τα έτη 1997 έως και 2004, λόγω εικοσαετούς παραγραφής).</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w:t>
      </w:r>
    </w:p>
    <w:p>
      <w:pPr>
        <w:spacing w:before="240" w:after="240"/>
        <w:rPr>
          <w:lang w:val="el" w:eastAsia="el"/>
        </w:rPr>
      </w:pPr>
      <w:r>
        <w:rPr>
          <w:b/>
          <w:bCs/>
          <w:lang w:val="el" w:eastAsia="el"/>
        </w:rPr>
        <w:t>2. Αποδέκτες Πίνακα Η΄ εκτός αρ. 4, 10 και 11</w:t>
      </w:r>
    </w:p>
    <w:p>
      <w:pPr>
        <w:spacing w:before="240" w:after="240"/>
        <w:rPr>
          <w:lang w:val="el" w:eastAsia="el"/>
        </w:rPr>
      </w:pPr>
      <w:r>
        <w:rPr>
          <w:b/>
          <w:bCs/>
          <w:lang w:val="el" w:eastAsia="el"/>
        </w:rPr>
        <w:t>3. Δ/νση Υποστήριξης Ηλεκτρονικών Υπηρεσιών για ανάρτηση στην ιστοσελίδα της Α.Α.Δ.Ε.</w:t>
      </w:r>
    </w:p>
    <w:p>
      <w:pPr>
        <w:spacing w:before="240" w:after="240"/>
        <w:rPr>
          <w:lang w:val="el" w:eastAsia="el"/>
        </w:rPr>
      </w:pPr>
      <w:r>
        <w:rPr>
          <w:b/>
          <w:bCs/>
          <w:lang w:val="el" w:eastAsia="el"/>
        </w:rPr>
        <w:t>4. Ηλεκτρονική Βιβλιοθήκη</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Αποδέκτες Πίνακα Α΄ αρ. 1 και 4</w:t>
      </w:r>
    </w:p>
    <w:p>
      <w:pPr>
        <w:spacing w:before="240" w:after="240"/>
        <w:rPr>
          <w:lang w:val="el" w:eastAsia="el"/>
        </w:rPr>
      </w:pPr>
      <w:r>
        <w:rPr>
          <w:b/>
          <w:bCs/>
          <w:lang w:val="el" w:eastAsia="el"/>
        </w:rPr>
        <w:t>2. Αποδέκτες Πίνακα Β΄ αρ. 3 και 3.1</w:t>
      </w:r>
    </w:p>
    <w:p>
      <w:pPr>
        <w:spacing w:before="240" w:after="240"/>
        <w:rPr>
          <w:lang w:val="el" w:eastAsia="el"/>
        </w:rPr>
      </w:pPr>
      <w:r>
        <w:rPr>
          <w:b/>
          <w:bCs/>
          <w:lang w:val="el" w:eastAsia="el"/>
        </w:rPr>
        <w:t>3. Υπουργείο Υποδομών και Μεταφορών: Αναστάσεως 2 και Τσιγάντε, Παπάγου ΤΚ 10191, με την παράκληση για άμεση κοινοποίηση στις Περιφερειακές Δ/νσεις Υπουργείου Υποδομών και Μεταφορών</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Διευθυντή Φορολογικής Διοίκησης</w:t>
      </w:r>
    </w:p>
    <w:p>
      <w:pPr>
        <w:spacing w:before="240" w:after="240"/>
        <w:rPr>
          <w:lang w:val="el" w:eastAsia="el"/>
        </w:rPr>
      </w:pPr>
      <w:r>
        <w:rPr>
          <w:b/>
          <w:bCs/>
          <w:lang w:val="el" w:eastAsia="el"/>
        </w:rPr>
        <w:t>3. Δ/νση Νομικής Υποστήριξης της Α.Α.Δ.Ε.</w:t>
      </w:r>
    </w:p>
    <w:p>
      <w:pPr>
        <w:spacing w:before="240" w:after="240"/>
        <w:rPr>
          <w:lang w:val="el" w:eastAsia="el"/>
        </w:rPr>
      </w:pPr>
      <w:r>
        <w:rPr>
          <w:b/>
          <w:bCs/>
          <w:lang w:val="el" w:eastAsia="el"/>
        </w:rPr>
        <w:t>4. Διεύθυνση Ηλεκτρονικής Διακυβέρνησης Α.Α.Δ.Ε.</w:t>
      </w:r>
    </w:p>
    <w:p>
      <w:pPr>
        <w:spacing w:before="240" w:after="240"/>
        <w:rPr>
          <w:lang w:val="el" w:eastAsia="el"/>
        </w:rPr>
      </w:pPr>
      <w:r>
        <w:rPr>
          <w:b/>
          <w:bCs/>
          <w:lang w:val="el" w:eastAsia="el"/>
        </w:rPr>
        <w:t>5. Δ/νση Εφαρμογής Έμμεσης Φορολογίας</w:t>
      </w:r>
    </w:p>
    <w:p>
      <w:pPr>
        <w:spacing w:before="240" w:after="240"/>
        <w:rPr>
          <w:lang w:val="el" w:eastAsia="el"/>
        </w:rPr>
      </w:pPr>
      <w:r>
        <w:rPr>
          <w:b/>
          <w:bCs/>
          <w:lang w:val="el" w:eastAsia="el"/>
        </w:rPr>
        <w:t>6. Δ/νση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