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Ω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101 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Δ. Παπαγιάννης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– 3375315-6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–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της υπ’ αριθμ.180/2017 γνωμοδότησης του ΝΣΚ.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την υπ’αριθμ.180/2017 γνωμοδότηση του ΝΣΚ (Α΄ Τακτική Ολομέλεια) η οποία έγινε αποδεκτή από τον Διοικητή της Ανεξάρτητης Αρχής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τη γνωμοδότηση αυτή, η παροχή με την ονομασία «έξοδα κίνησης και παράστασης προϊσταμένου», που χορηγήθηκε σε προϊσταμένους υπηρεσιακών λειτουργιών της ΟΤΕ ΑΕ, με βάση την από 16/5/1995 ΕΣΣΕ, η οποία υπεγράφη μεταξύ ΟΤΕ ΑΕ και ΟΜΕ-ΟΤΕ, αποτελεί εισόδημα από μισθωτή εργασία και υπόκειται σε φόρο εισοδήματος, τόσο υπό το καθεστώς του ΚΦΕ (ν.2238/1994) όσο και του νέου ΚΦΕ (ν.4172/2013), υπό την εξυπακουόμενη βεβαίως προϋπόθεση ότι οι εν προκειμένω ενδιαφέροντες όροι της εν λόγω ΕΣΣΕ είναι διαχρονικώς ενεργοί. Παρεπομένως, η ΟΤΕ ΑΕ, υποχρεούται να προβαίνει σε παρακράτηση φ.μ.υ. επί των εξόδων κινήσεως και παραστάσεως και σε απόδοσή του στο Ελληνικό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Φορολογική Διοίκηση δεν υποχρεούται σε επιστροφή στην ΟΤΕ ΑΕ, ως αχρεωστήτως καταβληθέντων, των ποσών που παρακρατήθηκαν ως φ.μ.υ. και αποδόθηκαν στο Δημόσιο και τα οποία η ΟΤΕ ΑΕ κατέβαλε στους ενάγοντες με βάση τις δικαστικές αποφάσεις, δεδομένου μάλιστα ότι απορρίφθηκε η προσεπίκληση-παρεμπίτουσα αγωγή αποζημιώσεως που άσκησε κατά του Δημοσίου.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ΣΥΝΗΜΜΕΝΑ:</w:t>
      </w:r>
      <w:r>
        <w:rPr>
          <w:b/>
          <w:bCs/>
          <w:lang w:val="el" w:eastAsia="el"/>
        </w:rPr>
        <w:t>Η υπ’αριθμ.180/2017 γνωμοδότηση του ΝΣΚ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πινάκα 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πινάκων Α΄(εκτός των αριθμών 2 και 3 αυτού), Β΄, Ζ΄(εκτός των αριθμών 2 και 3 αυτού), Η΄(εκτός των αριθμών 4,10 και 11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Κεντρική Υπηρεσία ΣΔΟΕ και τις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Όμιλος Εταιριών ΟΤΕ – Λεωφ. Κηφισίας 99, 15124 ΜΑΡΟΥΣΙ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Νομικό Συμβούλιο του Κράτους – Κεντρική Υπηρεσία – Τμήμα Μελετών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Ειδικό Νομικό Γραφείο Δημοσίων Εσόδων στην ΑΑΔΕ – Ακαδημίας 68 &amp; Χαρ. Τρικούπη – 106 78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Δ/νση Εφαρμογής Άμεσης Φορολογίας – Τμήμα Α’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