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.ΓΕΝΙΚΗ ΔΙΕΥΘΥΝΣΗ ΦΟΡΟΛΟΓΙΚΗΣ ΔΙΟΙΚΗΣΗΣ ΔΙΕΥΘΥΝΣΗ ΕΦΑΡΜΟΓΗΣ ΕΜΜΕΣΗΣ ΦΟΡΟΛΟΓΙΑΣ ΤΜΗΜΑ Β ΤΕΛΩΝ ΚΑΙ ΕΙΔΙΚΩΝ ΦΟΡΟΛΟΓΙΩΝ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.ΓΕΝΙΚΗ Δ/ΝΣΗ ΗΛΕΚΤΡΟΝΙΚΗΣ ΔΙΑΚΥΒΕΡΝΗΣΗΣ ΚΑΙ ΑΝΘΡΩΠΙΝΟΥ ΔΥΝΑΜΙΚΟΥ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 Α.Α.Δ.Ε. ΥΠΟΔ/ΝΣΗ Β΄ ΕΠΙΧΕΙΡΗΣΙΑΚΩΝ ΑΠΑΙΤΗΣΕΩΝ ΕΦΑΡΜΟΓΩΝ ΦΟΡΟΛΟΓΙΑΣ ΚΑΙ ΕΛΕΓΧΟΥ ΚΕΦΑΛΑΙΟΥ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Ζ΄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ΑΠΑΙΤΗΣΕΩΝ ΚΑΙ ΕΛΕΓΧΟΥ ΕΦΑΡΜΟΓΩΝ ΑΜΕΣΗΣ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ΦΟΡΟΛΟΓΙΑΣ ΚΑΙ ΚΕΦΑΛΑΙΟΥ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ΣΙΝΑ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10672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2103644781,2103642570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2103604308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Χαδρή 1 και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18234 Μοσχάτο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2104802294, 2104802871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«Διευκρινίσεις επι της ΠΟΛ. 1097/2017 ως προς την είσπραξη Εφάπαξ Εισφοράς για τη χορήγηση άδειας κυκλοφορίας ΦΔΧ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Σχετ. ΠΟΛ.1097/2017&amp; 1101/2014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της ΠΟΛ 1097/2017 με την οποία παρασχέθηκαν οδηγίες σχετικά με τον </w:t>
      </w:r>
      <w:r>
        <w:rPr>
          <w:b/>
          <w:bCs/>
          <w:lang w:val="el" w:eastAsia="el"/>
        </w:rPr>
        <w:t>υπολογισμό και είσπραξη τελών και εισφορών κατά την έκδοση νέων αδειών κυκλοφορίας και κατά την έκδοση αδειών κυκλοφορίας μετά από μεταβολές στοιχείων των επαγγελματικών οχημάτων</w:t>
      </w:r>
      <w:r>
        <w:rPr>
          <w:lang w:val="el" w:eastAsia="el"/>
        </w:rPr>
        <w:t>, κατόπιν της παύσης λειτουργίας των Γραφείων Εσόδων Αυτοκινήτων των Δ.Ο.Υ. (Κλιμάκια) που στεγάζονταν στις Περιφερειακές Δ/νσεις του Υπουργείου Υποδομών και Μεταφορών, και επι του κεφαλαίου Γ παρ. 1, σας ενημερώνουμε για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 τις διατάξεις του αρ. 5 του ν. 3887/2010 (174 Α΄), όπως αντικαταστάθηκαν και ισχύουν με τις διατάξεις του αρ. 18 του ν. 4233/2014 (Α΄22), για τη θέση σε κυκλοφορία ΦΔΧ, εισπράττεται εφάπαξ εισφορά υπέρ του Δημοσίου, η οποία ορίσθηκε με την κοινή απόφαση των Υπουργών Οικονομικών και Υποδομών Μεταφορών και Δικτύων με αριθμ. Β1/οικ.17662/1345/18- 3-2014 (Β΄721) στο ποσό των 500 ευρώ.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Περαιτέρω, με τις διατάξεις των παρ.1 και 7, του άρθρου 18 του ν.4233/2014 (Α΄22), έπαψαν να ισχύουν αυτοδικαίως οι Άδειες Οδικών Μεταφορών (ΑΟΜ) και η εισφορά 1000€, που καταβλήθηκε για τις εκκρεμείς αιτήσεις για χορήγηση ΑΟΜ, επιστρέφεται στον υπόχρεο.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Κατά συνέπεια, απαιτείται η είσπραξη </w:t>
      </w:r>
      <w:r>
        <w:rPr>
          <w:u w:val="single"/>
          <w:lang w:val="el" w:eastAsia="el"/>
        </w:rPr>
        <w:t>μόνο</w:t>
      </w:r>
      <w:r>
        <w:rPr>
          <w:lang w:val="el" w:eastAsia="el"/>
        </w:rPr>
        <w:t xml:space="preserve"> της εισφοράς για χορήγηση νέων αδειών κυκλοφορίας ΦΔΧ,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Εκδίδεται «Διπλότυπο Είσπραξης Τύπου Α» στο Α.Φ.Μ. του υπόχρεου, από το Υποσύστημα Εσόδων του TAXIS και ειδικότερα από την οθόνη «Οίκοθεν - Δήλωσης – ΕΔΕ», επιλέγοντας: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Τύπο Είσπραξης: Δήλωση,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Τύπο Πηγής: 8,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Είδος Φόρου: 2907 «ΕΙΣΦΟΡΑ ΑΔΕΙΑΣ ΚΥΚΛΟΦΟΡΙΑΣ Φ.Δ.Χ. Ν.3887/2010)»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ΚΑΕ Εσόδων: 1372 «ΕΙΔΙΚΗ ΕΦΑΠΑΞ ΕΙΣΦΟΡΑ ΣΤΑ ΦΟΡΤΗΓΑ Δ.Χ. ΠΟΥ ΜΠΑΙΝΟΥΝ ΣΕ ΚΥΚΛΟΦΟΡΙΑ (ΑΡΘ.5 ΠΑΡ.5, ΑΡΘ.12 ΚΑΙ ΑΡΘ.14 ΠΑΡ.7 Ν.3887/10)».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Όλες τις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Οικ/κών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 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. Γραφείο Γενικού Δ/ντη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.Γραφείο Γενικού Δ/ντη Ηλεκτρονικής Διακυβέρνησης &amp; Ανθρωπίνου Δυναμικού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.Δ/νση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 .Δ/νση Νομικής Υποστήριξης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6.Δ.ΗΛ.Ε.Δ.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Περιοδικό Φορολογική Επιθεώρηση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Ηλεκτρονική Βιβλιοθήκη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