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Φορολογική μεταχείριση της υπεραξίας από μεταβίβαση κρατικών ομολόγων και εντόκων γραμματίων του Ελληνικού Δημοσίου που προκύπτει κατ’ εφαρμογή της Υ.Α. 1332/2017 (ΦΕΚ 3995 Β’)</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6 του άρθρου 42 του ν.4172/2013 (Α’ 167) ορίζεται ότι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του ελληνικού χρέους απαλλάσσονται από το φόρο.</w:t>
      </w:r>
    </w:p>
    <w:p>
      <w:pPr>
        <w:spacing w:before="240" w:after="240"/>
        <w:rPr>
          <w:lang w:val="el" w:eastAsia="el"/>
        </w:rPr>
      </w:pPr>
      <w:r>
        <w:rPr>
          <w:lang w:val="el" w:eastAsia="el"/>
        </w:rPr>
        <w:t>2. Περαιτέρω, με τις διατάξεις της παρ.5 του άρθρου 47 του ίδιου νόμου ορίζεται μεταξύ άλλων, ότι οι διατάξεις της παραγράφου 6 του άρθρου 42 έχουν εφαρμογή και στα νομικά πρόσωπα του άρθρου 45.</w:t>
      </w:r>
    </w:p>
    <w:p>
      <w:pPr>
        <w:spacing w:before="240" w:after="240"/>
        <w:rPr>
          <w:lang w:val="el" w:eastAsia="el"/>
        </w:rPr>
      </w:pPr>
      <w:r>
        <w:rPr>
          <w:lang w:val="el" w:eastAsia="el"/>
        </w:rPr>
        <w:t>3. Εξάλλου, με την υπ’ αριθμ. 1332/2017 Απόφαση του Αναπληρωτή Υπουργού Οικονομικών (ΦΕΚ 3995 Β’) ορίζεται ότι στο πλαίσιο του προγράμματος διαχείρισης των υποχρεώσεων του Ελληνικού Δημοσίου λαμβάνει χώρα ανταλλαγή τίτλων με βάση τα οριζόμενα στο σχετικό Πληροφοριακό Δελτίο, η οποία αποτελεί μέρος του προγράμματος συμμετοχής στην αναδιάταξη του ελληνικού δημόσιου χρέους κατ’ εφαρμογή των διατάξεων της παρ.6 του άρθρου 42 του ν.4172/2013.</w:t>
      </w:r>
    </w:p>
    <w:p>
      <w:pPr>
        <w:spacing w:before="240" w:after="240"/>
        <w:rPr>
          <w:lang w:val="el" w:eastAsia="el"/>
        </w:rPr>
      </w:pPr>
      <w:r>
        <w:rPr>
          <w:lang w:val="el" w:eastAsia="el"/>
        </w:rPr>
        <w:t>4. Ενόψει των ανωτέρω και δεδομένου ότι η ανταλλαγή αυτή αποτελεί κατά ρητή διατύπωση της ως άνω Υ.Α. μέρος του προγράμματος συμμετοχής στην αναδιάταξη του ελληνικού δημόσιου χρέους, προκύπτει ότι και στην περίπτωση αυτή έχουν εφαρμογή οι διατάξεις της παρ.6 του άρθρου 42 του ν.4172/2013, αναφορικά με τη φορολογική μεταχείριση του κέρδους (υπεραξίας) που θα αποκτήσουν τα φυσικά ή νομικά πρόσωπα και νομικές οντότητες από την ανταλλαγή των τίτλων τους κατ’ εφαρμογή της σχετικής Υ.Α..</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4.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Γραφείο κ. Υπουργού</w:t>
      </w:r>
    </w:p>
    <w:p>
      <w:pPr>
        <w:spacing w:before="240" w:after="240"/>
        <w:rPr>
          <w:lang w:val="el" w:eastAsia="el"/>
        </w:rPr>
      </w:pPr>
      <w:r>
        <w:rPr>
          <w:lang w:val="el" w:eastAsia="el"/>
        </w:rPr>
        <w:t>5. Γραφείο κας Υφυπουργού</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