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Θέμα: Παραλαβή και καταχώρηση των δηλώσεων – προεκτίμηση ακινήτων στις φορολογίες κληρονομιών, δωρεών, γονικών παροχών και μεταβίβασης ακινήτων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Με την Δ.ΟΡΓ. Α 1115805 ΕΞ 2017 (ΦΕΚ 2743 Β΄/04-08-2017) απόφαση του Διοικητή της Ανεξάρτητης Αρχής Δημοσίων Εσόδων, που εκδόθηκε κατ’ εξουσιοδότηση των διατάξεων του άρθρου 4 του ν.4172/2013 (Κ.Φ.Δ.) και η οποία κατισχύει κάθε άλλης αντίθετης ρύθμισης ρυθμίζονται, μεταξύ άλλων, και ζητήματα αρμοδιότητας της Φορολογικής Διοίκησης για την παραλαβή και καταχώρηση των φορολογικών δηλώσεων.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Για την παραλαβή και καταχώρηση των φορολογικών δηλώσεων στις φορολογίες κληρονομιών, δωρεών, γονικών παροχών και μεταβίβασης ακινήτων ισχύουν τα οριζόμενα </w:t>
      </w:r>
      <w:r>
        <w:rPr>
          <w:b/>
          <w:bCs/>
          <w:lang w:val="el" w:eastAsia="el"/>
        </w:rPr>
        <w:t>στις περιπτώσεις 151, 152 και 156 του άρθρου 1 της ανωτέρω απόφασης</w:t>
      </w:r>
      <w:r>
        <w:rPr>
          <w:lang w:val="el" w:eastAsia="el"/>
        </w:rPr>
        <w:t>. Σημειώνεται ότι μέχρι την έκδοση της απόφασης αυτής ίσχυαν οι περιπτώσεις 100 υποπ. 9 και 10, 101 υποπ. 7 και 8, 110, 127, 128 και 132 της απόφασης Δ.ΟΡΓ.Α 1036682 ΕΞ 2014/25-02-2014 (Β΄ 478), όπως κατά καιρούς είχε τροποποιηθεί.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Με την απόφαση αυτή </w:t>
      </w:r>
      <w:r>
        <w:rPr>
          <w:b/>
          <w:bCs/>
          <w:lang w:val="el" w:eastAsia="el"/>
        </w:rPr>
        <w:t xml:space="preserve">δεν επέρχεται ουσιαστική μεταβολή </w:t>
      </w:r>
      <w:r>
        <w:rPr>
          <w:lang w:val="el" w:eastAsia="el"/>
        </w:rPr>
        <w:t xml:space="preserve">στις αρμοδιότητες των Δ.Ο.Υ. για την παραλαβή δηλώσεων στις πιο πάνω φορολογίες, όπως αυτές ρυθμίζονταν με προηγούμενες αποφάσεις, </w:t>
      </w:r>
      <w:r>
        <w:rPr>
          <w:u w:val="single"/>
          <w:lang w:val="el" w:eastAsia="el"/>
        </w:rPr>
        <w:t>παρά μόνο</w:t>
      </w:r>
      <w:r>
        <w:rPr>
          <w:b/>
          <w:bCs/>
          <w:lang w:val="el" w:eastAsia="el"/>
        </w:rPr>
        <w:t>ως προς την προεκτίμηση/προσωρινή αξία των ακινήτων</w:t>
      </w:r>
      <w:r>
        <w:rPr>
          <w:lang w:val="el" w:eastAsia="el"/>
        </w:rPr>
        <w:t>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Ειδικότερα, στην περίπτωση που για τον προσδιορισμό της φορολογητέας αξίας ακινήτων τα οποία μεταβιβάζονται αιτία θανάτου, δωρεάς /γονικής παροχής ή με επαχθή αιτία δεν ισχύει το αντικειμενικό σύστημα, η προσωρινή εκτίμηση της αξίας διενεργείται από τον Προϊστάμενο της Δ.Ο.Υ. που είναι αρμόδιος για την παραλαβή της δήλωσης. Εάν το ακίνητο βρίσκεται στη χωρική αρμοδιότητα άλλης Δ.Ο.Υ., η δήλωση </w:t>
      </w:r>
      <w:r>
        <w:rPr>
          <w:b/>
          <w:bCs/>
          <w:lang w:val="el" w:eastAsia="el"/>
        </w:rPr>
        <w:t xml:space="preserve">διαβιβάζεται στη </w:t>
      </w:r>
      <w:r>
        <w:rPr>
          <w:b/>
          <w:bCs/>
          <w:u w:val="single"/>
          <w:lang w:val="el" w:eastAsia="el"/>
        </w:rPr>
        <w:t>Δ.Ο.Υ. του ακινήτου</w:t>
      </w:r>
      <w:r>
        <w:rPr>
          <w:b/>
          <w:bCs/>
          <w:lang w:val="el" w:eastAsia="el"/>
        </w:rPr>
        <w:t>(και όχι στη Δ.Ο.Υ. του ελέγχου), ο Προϊστάμενος της οποίας προσδιορίζει την αξία και επιστρέφει τη δήλωση.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Οι δηλώσεις φόρου κληρονομιάς, δωρεάς, γονικής παροχής, οι οποίες προς το παρόν υποβάλλονται χειρόγραφα, καταχωρούνται, μέχρι την υλοποίηση των ηλεκτρονικών βιβλίων καταχώρησης δηλώσεων, η οποία αναμένεται σύντομα, στο οικείο </w:t>
      </w:r>
      <w:r>
        <w:rPr>
          <w:b/>
          <w:bCs/>
          <w:lang w:val="el" w:eastAsia="el"/>
        </w:rPr>
        <w:t>βιβλίο μεταγραφής των δηλώσεων</w:t>
      </w:r>
      <w:r>
        <w:rPr>
          <w:b/>
          <w:bCs/>
          <w:lang w:val="el" w:eastAsia="el"/>
        </w:rPr>
        <w:t xml:space="preserve">, το οποίο, για λόγους διασφάλισης των συμφερόντων των διοικουμένων και αποφυγής αλλοιώσεων αυτού, </w:t>
      </w:r>
      <w:r>
        <w:rPr>
          <w:b/>
          <w:bCs/>
          <w:lang w:val="el" w:eastAsia="el"/>
        </w:rPr>
        <w:t>στο τέλος κάθε έτους θεωρείται</w:t>
      </w:r>
      <w:r>
        <w:rPr>
          <w:b/>
          <w:bCs/>
          <w:lang w:val="el" w:eastAsia="el"/>
        </w:rPr>
        <w:t>, ώστε να μην καταλείπεται η δυνατότητα καταχώρησης νέων δηλώσεων. Μέχρι την υλοποίηση των ηλεκτρονικών βιβλίων καταχώρησης δηλώσεων, ε</w:t>
      </w:r>
      <w:r>
        <w:rPr>
          <w:b/>
          <w:bCs/>
          <w:u w:val="single"/>
          <w:lang w:val="el" w:eastAsia="el"/>
        </w:rPr>
        <w:t>φιστάται ιδιαίτερα η προσοχή των προϊσταμένων</w:t>
      </w:r>
      <w:r>
        <w:rPr>
          <w:b/>
          <w:bCs/>
          <w:lang w:val="el" w:eastAsia="el"/>
        </w:rPr>
        <w:t xml:space="preserve"> στην ορθή τήρηση και θεώρηση των βιβλίων.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ΔΙΟΙΚΗΤΗΣ ΑΑΔΕΓΕΩΡΓΙΟΣ ΠΙΤΣΙΛΗΣ</w:t>
      </w:r>
      <w:r>
        <w:rPr>
          <w:b/>
          <w:bCs/>
          <w:lang w:val="el" w:eastAsia="el"/>
        </w:rPr>
        <w:t>ΠΙΝΑΚΑΣ ΑΠΟΔΕΚΤΩΝ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Αποδέκτες Πίνακα Γ΄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Διεύθυνση Υποστήριξης Ηλεκτρονικών Υπηρεσιών – Τμήμα Α΄ (με την παράκληση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να αναρτηθεί στην ιστοσελίδα της Α.Α.Δ.Ε.)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Διεύθυνση Υποστήριξης Ηλεκτρονικών Υπηρεσιών – Τμήμα Ε΄ (με την παράκληση να αναρτηθεί στην Ηλεκτρονική Βιβλιοθήκη).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Αποδέκτες Πίνακα Β΄ (περίπτωση 3)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Αποδέκτες Πίνακα Ζ΄ (περιπτώσεις 1 και 6)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Αποδέκτες Πίνακα Η΄(περιπτώσεις 1 έως και 3, 5 έως και 9)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Αποδέκτες Πίνακα Ι΄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IΙΙ.ΕΣΩΤΕΡΙΚΗ ΔΙΑΝΟΜΗ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Γραφείο Υπουργού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Γραφείο Υφυπουργού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Γραφείο Διοικητή Ανεξάρτητης Αρχής Δημοσίων Εσόδων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Γραφείο Προϊσταμένου Γενικής Διεύθυνσης Φορολογικής Διοίκησης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5. Γραφεία κ. κ. Γενικών Διευθυντών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6. Διευθύνσεις, Αυτοτελή Τμήματα και Αυτοτελή Γραφεία της Α.Α.Δ.Ε.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7. Δ/νση Νομικής Υποστήριξης της Α.Α.Δ.Ε.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8. Δ/νση Εφαρμογής Φορολογίας Κεφαλαίου και Περιουσιολογίου – Τμήματα Α΄ και Β΄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