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 ΤΜΗΜΑ Β’ ΤΕΛΩΝ ΚΑΙ ΕΙΔΙΚΩΝ ΦΟΡΟΛΟΓΙΩΝ</w:t>
      </w:r>
    </w:p>
    <w:p>
      <w:pPr>
        <w:spacing w:before="240" w:after="240"/>
        <w:rPr>
          <w:lang w:val="el" w:eastAsia="el"/>
        </w:rPr>
      </w:pPr>
      <w:r>
        <w:rPr>
          <w:b/>
          <w:bCs/>
          <w:lang w:val="el" w:eastAsia="el"/>
        </w:rPr>
        <w:t>Θέμα: «Εφαρμογή διατάξεων του Κώδικα Τελών Χαρτοσήμου στις πράξεις στις οποίες συμβάλλεται ιδιωτική κεφαλαιουχική εταιρεία »</w:t>
      </w:r>
    </w:p>
    <w:p>
      <w:pPr>
        <w:spacing w:before="240" w:after="240"/>
        <w:rPr>
          <w:lang w:val="el" w:eastAsia="el"/>
        </w:rPr>
      </w:pPr>
      <w:r>
        <w:rPr>
          <w:lang w:val="el" w:eastAsia="el"/>
        </w:rPr>
        <w:t>Με αφορμή προφορικά ερωτήματα που έχουν τεθεί στην υπηρεσία μας, αναφορικά με το ανωτέρω θέμα διευκρινίζονται τα εξής:</w:t>
      </w:r>
    </w:p>
    <w:p>
      <w:pPr>
        <w:spacing w:before="240" w:after="240"/>
        <w:rPr>
          <w:lang w:val="el" w:eastAsia="el"/>
        </w:rPr>
      </w:pPr>
      <w:r>
        <w:rPr>
          <w:lang w:val="el" w:eastAsia="el"/>
        </w:rPr>
        <w:t>Σύμφωνα με τις διατάξεις του άρθρου 15 παρ.1α του Κώδικα Νόμων Τελών Χαρτοσήμου ( Π.Δ. της 28 Ιουλίου 1931 όπως ισχύει) ορίζεται ότι κάθε σύμβαση, οποιουδήποτε αντικειμένου, συναπτόμενη μεταξύ εμπόρων, μεταξύ εμπόρου και εμπορικής εταιρείας πάσης φύσεως, μεταξύ εμπορικών εταιρειών πάσης φύσεως, η οποία αφορά αποκλειστικά την από αυτούς ασκούμενη εμπορία, και μεταξύ τρίτου εν γένει και ανώνυμης εταιρείας, υπόκεινται σε αναλογικό τέλος χαρτοσήμου σύμφωνα με το άρθρο 14 του ιδίου νόμου, με συντελεστή 2,4% (χαρτόσημο πλέον ΟΓΑ χαρτοσήμου).</w:t>
      </w:r>
    </w:p>
    <w:p>
      <w:pPr>
        <w:spacing w:before="240" w:after="240"/>
        <w:rPr>
          <w:lang w:val="el" w:eastAsia="el"/>
        </w:rPr>
      </w:pPr>
      <w:r>
        <w:rPr>
          <w:lang w:val="el" w:eastAsia="el"/>
        </w:rPr>
        <w:t>Σύμφωνα με το άρθρο 56 παρ. 2 του ν.3190/1955 (ΦΕΚ Α΄ 91/16.04.1955) “Περί εταιρειών περιορισμένης ευθύνης” οι διατάξεις του Κώδικα περί τελών χαρτοσήμου οι οποίες προβλέπουν μειωμένο φορολογικό συντελεστή για τις ανώνυμες εταιρείες εφαρμόζονται αναλόγως και επί των εταιρειών περιορισμένης ευθύνης.</w:t>
      </w:r>
    </w:p>
    <w:p>
      <w:pPr>
        <w:spacing w:before="240" w:after="240"/>
        <w:rPr>
          <w:lang w:val="el" w:eastAsia="el"/>
        </w:rPr>
      </w:pPr>
      <w:r>
        <w:rPr>
          <w:lang w:val="el" w:eastAsia="el"/>
        </w:rPr>
        <w:t>Σύμφωνα με τις διατάξεις των άρθρων 43 έως 120 του ν.4072/2012 (ΦΕΚ Α΄ 86/11.04.2012)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εισάγεται νέα εταιρική μορφή, η ιδιωτική κεφαλαιουχική εταιρεία, η οποία είναι εκ του νόμου εμπορική και έχει νομική προσωπικότητα. Πιο συγκεκριμένα, στο άρθρο 116 παρ. 11 του ν.4072/2012 “Προσαρμογή στις γενικές διατάξεις” προβλέπεται πως οι εκάστοτε ισχύουσες φορολογικές διατάξεις για τις εταιρίες περιορισμένης ευθύνης (Ε.Π.Ε.) εφαρμόζονται και στις ιδιωτικές κεφαλαιουχικές εταιρίες (Ι.Κ.Ε.).</w:t>
      </w:r>
    </w:p>
    <w:p>
      <w:pPr>
        <w:spacing w:before="240" w:after="240"/>
        <w:rPr>
          <w:lang w:val="el" w:eastAsia="el"/>
        </w:rPr>
      </w:pPr>
      <w:r>
        <w:rPr>
          <w:lang w:val="el" w:eastAsia="el"/>
        </w:rPr>
        <w:t>Συνεπώς, βάσει των ανωτέρω, οι ισχύουσες διατάξεις του Κ.Ν.Τ.Χ. για τις εταιρίες περιορισμένης ευθύνης (Ε.Π.Ε.) εφαρμόζονται και στις ιδιωτικές κεφαλαιουχικές εταιρίες (Ι.Κ.Ε.).</w:t>
      </w:r>
    </w:p>
    <w:p>
      <w:pPr>
        <w:spacing w:before="240" w:after="240"/>
        <w:rPr>
          <w:lang w:val="el" w:eastAsia="el"/>
        </w:rPr>
      </w:pPr>
      <w:r>
        <w:rPr>
          <w:lang w:val="el" w:eastAsia="el"/>
        </w:rPr>
        <w:t>Παράδειγμα:</w:t>
      </w:r>
    </w:p>
    <w:p>
      <w:pPr>
        <w:spacing w:before="240" w:after="240"/>
        <w:rPr>
          <w:lang w:val="el" w:eastAsia="el"/>
        </w:rPr>
      </w:pPr>
      <w:r>
        <w:rPr>
          <w:lang w:val="el" w:eastAsia="el"/>
        </w:rPr>
        <w:t>1. Ιδιωτική κεφαλαιουχική εταιρεία συμβάλλεται σε δανειακή σύμβαση με οποιοδήποτε φυσικό ή νομικό πρόσωπο πλην του Δημοσίου, Δήμων, Κοινοτήτων και Ν.Π.Δ.Δ.. Για την πράξη αυτή οφείλεται χαρτόσημο με συντελεστή 2,4% (χαρτόσημο πλέον ΟΓΑ χαρτοσήμου).</w:t>
      </w:r>
    </w:p>
    <w:p>
      <w:pPr>
        <w:spacing w:before="240" w:after="240"/>
        <w:rPr>
          <w:lang w:val="el" w:eastAsia="el"/>
        </w:rPr>
      </w:pPr>
      <w:r>
        <w:rPr>
          <w:b/>
          <w:bCs/>
          <w:lang w:val="el" w:eastAsia="el"/>
        </w:rPr>
        <w:t>Ο ΔΙΟΙΚΗΤΗΣ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Η΄ εκτός αρ. 4, 10 και 11</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&amp;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Ζ΄ αρ. 1 &amp; 5</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ΙΑ’</w:t>
      </w:r>
    </w:p>
    <w:p>
      <w:pPr>
        <w:spacing w:before="240" w:after="240"/>
        <w:rPr>
          <w:lang w:val="el" w:eastAsia="el"/>
        </w:rPr>
      </w:pPr>
      <w:r>
        <w:rPr>
          <w:lang w:val="el" w:eastAsia="el"/>
        </w:rPr>
        <w:t>6. Αποδέκτες Πίνακα ΙΒ΄</w:t>
      </w:r>
    </w:p>
    <w:p>
      <w:pPr>
        <w:spacing w:before="240" w:after="240"/>
        <w:rPr>
          <w:lang w:val="el" w:eastAsia="el"/>
        </w:rPr>
      </w:pPr>
      <w:r>
        <w:rPr>
          <w:lang w:val="el" w:eastAsia="el"/>
        </w:rPr>
        <w:t>7. Αποδέκτες Πίνακα ΙΓ΄</w:t>
      </w:r>
    </w:p>
    <w:p>
      <w:pPr>
        <w:spacing w:before="240" w:after="240"/>
        <w:rPr>
          <w:lang w:val="el" w:eastAsia="el"/>
        </w:rPr>
      </w:pPr>
      <w:r>
        <w:rPr>
          <w:lang w:val="el" w:eastAsia="el"/>
        </w:rPr>
        <w:t>8. Αποδέκτες Πίνακα ΙΕ΄</w:t>
      </w:r>
    </w:p>
    <w:p>
      <w:pPr>
        <w:spacing w:before="240" w:after="240"/>
        <w:rPr>
          <w:lang w:val="el" w:eastAsia="el"/>
        </w:rPr>
      </w:pPr>
      <w:r>
        <w:rPr>
          <w:lang w:val="el" w:eastAsia="el"/>
        </w:rPr>
        <w:t>9. Αποδέκτες Πίνακα ΙΣΤ΄</w:t>
      </w:r>
    </w:p>
    <w:p>
      <w:pPr>
        <w:spacing w:before="240" w:after="240"/>
        <w:rPr>
          <w:lang w:val="el" w:eastAsia="el"/>
        </w:rPr>
      </w:pPr>
      <w:r>
        <w:rPr>
          <w:lang w:val="el" w:eastAsia="el"/>
        </w:rPr>
        <w:t>10. Αποδέκτες Πίνακα ΙΖ΄</w:t>
      </w:r>
    </w:p>
    <w:p>
      <w:pPr>
        <w:spacing w:before="240" w:after="240"/>
        <w:rPr>
          <w:lang w:val="el" w:eastAsia="el"/>
        </w:rPr>
      </w:pPr>
      <w:r>
        <w:rPr>
          <w:lang w:val="el" w:eastAsia="el"/>
        </w:rPr>
        <w:t>11. Αποδέκτες Πίνακα ΙΗ΄</w:t>
      </w:r>
    </w:p>
    <w:p>
      <w:pPr>
        <w:spacing w:before="240" w:after="240"/>
        <w:rPr>
          <w:lang w:val="el" w:eastAsia="el"/>
        </w:rPr>
      </w:pPr>
      <w:r>
        <w:rPr>
          <w:lang w:val="el" w:eastAsia="el"/>
        </w:rPr>
        <w:t>12. Αποδέκτες Πίνακα ΙΘ΄</w:t>
      </w:r>
    </w:p>
    <w:p>
      <w:pPr>
        <w:spacing w:before="240" w:after="240"/>
        <w:rPr>
          <w:lang w:val="el" w:eastAsia="el"/>
        </w:rPr>
      </w:pPr>
      <w:r>
        <w:rPr>
          <w:lang w:val="el" w:eastAsia="el"/>
        </w:rPr>
        <w:t>13. Αποδέκτες Πίνακα Κ΄</w:t>
      </w:r>
    </w:p>
    <w:p>
      <w:pPr>
        <w:spacing w:before="240" w:after="240"/>
        <w:rPr>
          <w:lang w:val="el" w:eastAsia="el"/>
        </w:rPr>
      </w:pPr>
      <w:r>
        <w:rPr>
          <w:lang w:val="el" w:eastAsia="el"/>
        </w:rPr>
        <w:t>14. Αποδέκτες Πίνακα ΚΑ΄</w:t>
      </w:r>
    </w:p>
    <w:p>
      <w:pPr>
        <w:spacing w:before="240" w:after="240"/>
        <w:rPr>
          <w:lang w:val="el" w:eastAsia="el"/>
        </w:rPr>
      </w:pPr>
      <w:r>
        <w:rPr>
          <w:lang w:val="el" w:eastAsia="el"/>
        </w:rPr>
        <w:t>15. Αποδέκτες Πίνακα ΚΒ΄</w:t>
      </w:r>
    </w:p>
    <w:p>
      <w:pPr>
        <w:spacing w:before="240" w:after="240"/>
        <w:rPr>
          <w:lang w:val="el" w:eastAsia="el"/>
        </w:rPr>
      </w:pPr>
      <w:r>
        <w:rPr>
          <w:lang w:val="el" w:eastAsia="el"/>
        </w:rPr>
        <w:t>16. Αποδέκτες Πίνακα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Διεύθυνση Ηλεκτρονικής Διακυβέρνησης Α.Α.Δ.Ε.</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