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ΛΑΛΕ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Ανεξάρτητη Αρχή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ΔΙΕΥΘΥΝΣΗίΦΟΡΟΛΟΓΙΚΗΣ ΔΙΟΙΚΗΣΗΣ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:Σίνα 2-4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:10672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:2103644781,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2103642570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2103604308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«Θέση σε φορολογική ακινησία επιβατικού οχήματος αποβιώσαντος προσώπου 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Κατόπιν γραπτών και προφορικών ερωτημάτων, σχετικά με τη δυνατότητα </w:t>
      </w:r>
      <w:r>
        <w:rPr>
          <w:b/>
          <w:bCs/>
          <w:lang w:val="el" w:eastAsia="el"/>
        </w:rPr>
        <w:t xml:space="preserve">θέσης οχήματος αποβιώσαντος προσώπου σε ακινησία </w:t>
      </w:r>
      <w:r>
        <w:rPr>
          <w:lang w:val="el" w:eastAsia="el"/>
        </w:rPr>
        <w:t>σας γνωρίζουμε τα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Σύμφωνα με τις διατάξεις του αρ. 22 του ν. 2367/1953, όπως ισχύει, ο </w:t>
      </w:r>
      <w:r>
        <w:rPr>
          <w:b/>
          <w:bCs/>
          <w:lang w:val="el" w:eastAsia="el"/>
        </w:rPr>
        <w:t xml:space="preserve">ιδιοκτήτης ή κάτοχος του οχήματος, </w:t>
      </w:r>
      <w:r>
        <w:rPr>
          <w:lang w:val="el" w:eastAsia="el"/>
        </w:rPr>
        <w:t xml:space="preserve">δύναται να το θέσει σε </w:t>
      </w:r>
      <w:r>
        <w:rPr>
          <w:u w:val="single"/>
          <w:lang w:val="el" w:eastAsia="el"/>
        </w:rPr>
        <w:t>εκούσια ακινησία</w:t>
      </w:r>
      <w:r>
        <w:rPr>
          <w:lang w:val="el" w:eastAsia="el"/>
        </w:rPr>
        <w:t>, καταθέτοντας στην αρμόδια Δ.Ο.Υ., εκτός από τη δήλωση ακινησίας και τα στοιχεία του οχήματος (άδεια και πινακίδες).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Περαιτέρω σύμφωνα με το με αρ. πρωτ. 1808/17-10-2000 γνωμοδοτικό έγγραφο του Ειδικού Νομικού Γραφείου Φορολογίας, η δήλωση ακινησίας ή διακοπής ακινησίας αυτοκινήτου, ως μονομερής υλική ενέργεια, σε περίπτωση συνιδιοκτησίας ή συγκατοχής του αυτοκινήτου, μπορεί να γίνει στην αρμόδια Δ.Ο.Υ. από οποιονδήποτε συνιδιοκτήτη ή συγκάτοχο, χωρίς τη συναίνεση του άλλου ή των άλλων συνιδιοκτητών ή συγκατόχων, αφού η ταυτόχρονη παράδοση των κρίσιμων στοιχείων κυκλοφορίας διασφαλίζει από φορολογικής απόψεως την επερχόμενη έννομη συνέπεια της ακινησίας.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Σημειώνεται, εξάλλου ότι εν προκειμένω δεν τυγχάνουν εφαρμογής οι διατάξεις του άρθρου 106 του ν. 2961/2001 (κώδικας φορολογίας κληρονομιών) ούτε απαιτείται η μεταβίβαση του οχήματος σε κληρονόμο, καθώς για τη θέση σε ακινησία δεν ελέγχεται το ιδιοκτησιακό καθεστώς του οχήματος, αλλά αρκεί η κατοχή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Από τα προαναφερθέντα προκύπτει ότι, εφόσον έχει δηλωθεί ο θάνατος προσώπου στο αρμόδιο τμήμα της Δ.Ο.Υ., </w:t>
      </w:r>
      <w:r>
        <w:rPr>
          <w:b/>
          <w:bCs/>
          <w:lang w:val="el" w:eastAsia="el"/>
        </w:rPr>
        <w:t>οποιοδήποτε πρόσωπο έχει την κατοχή του οχήματος δηλαδή έχει τη φυσική εξουσία επί αυτού, ανεξάρτητα αν το ίδιο πρόσωπο έχει και την κυριότητα αυτού, μπορεί να υποβάλει δήλωση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ακινησίας </w:t>
      </w:r>
      <w:r>
        <w:rPr>
          <w:lang w:val="el" w:eastAsia="el"/>
        </w:rPr>
        <w:t>σύμφωνα με τα οριζόμενα στο άρθρο 22 του ν. 2367/1953 με ταυτόχρονη κατάθεση υπεύθυνης δήλωσης περί της κατοχής του οχήματος.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Τα ανωτέρω ισχύουν μόνο για τη θέση του οχήματος σε ακινησία.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Α.Α.Δ.ΕΓΕΩΡΓΙΟΣ ΠΙΤΣΙΛΗΣ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Πίνακας Διανομής: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Α.Αποδέκτες προς ενέργεια</w:t>
      </w:r>
      <w:r>
        <w:rPr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Όλες τις Δ.Ο.Υ. και τα Ελεγκτικά Κέντρα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Β. Αποδέκτες για κοινοποίηση</w:t>
      </w:r>
      <w:r>
        <w:rPr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-Υπουργείο Υποδομών και Μεταφορών Δ/νση Επιβατικών Μεταφορών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Αναστάσεως 2 και Τσιγάντε Παπάγου ΤΚ10191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-Συνήγορος του Πολίτη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Χαλκοκονδύλη 17 ΤΚ 10432 Αθήνα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Γ. Εσωτςρική διανομή: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-Γρ. Διοικητή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-Γρ. Γεν.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-Γρ. κ.κ. Γεν.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-Δ/νση Διαχείρισης Ανθρ. δυναμικού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-όλες τις Φορολογικές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-Δ/νση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-Ηλεκτρονική Βιβλιοθήκη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