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 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:10672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Τηλ. :2103644781,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2103642570, 2103604308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Παροχή διευκρινίσεων επί των ΠΟΛ 1133/2015, 1147/2015 και 1136/2017 για τη θέση σε αναγκαστική ακινησία οχημάτων για τα οποία δεν ολοκληρώθηκε η διαδικασία της μεταβίβασης.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αφορμή ερωτήματα, που υποβλήθηκαν μετά την κοινοποίηση της Πολ 1136/2017, αναφορικά με το αν, με τις εν θέματι εγκυκλίους, δύνανται να τεθούν σε αναγκαστική ακινησία και Επιβατικές Ιδιωτικής Χρήσης δίκυκλες-τρίκυκλες μοτοσικλέτες για τις οποίες δεν ολοκληρώθηκε η διαδικασία της μεταβίβασης, σας γνωρίζουμε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Σύμφωνα με τις διατάξεις του αρ. 22 του ν. 2367/1953, δίνεται η δυνατότητα σε ιδιοκτήτες αυτοκινήτων οχημάτων, να θέσουν αυτά είτε σε εκούσια είτε σε αναγκαστική ακινησία στην αρμόδια Δ.Ο.Υ., προκειμένου να εκπέσουν των τελών κυκλοφορίας . Στις εν λόγω διατάξεις, </w:t>
      </w:r>
      <w:r>
        <w:rPr>
          <w:u w:val="single"/>
          <w:lang w:val="el" w:eastAsia="el"/>
        </w:rPr>
        <w:t>δεν υφίσταται διάκριση των οχημάτων</w:t>
      </w:r>
      <w:r>
        <w:rPr>
          <w:lang w:val="el" w:eastAsia="el"/>
        </w:rPr>
        <w:t xml:space="preserve"> τα οποία δύνανται να τεθούν σε ακινησία στη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Σημειώνεται ότι λόγοι αναγκαστικής ακινησίας, είναι η κλοπή ή υπεξαίρεση οχήματος , καθώς και η ανωτέρα βία, όπως στην περίπτωση της μη ολοκλήρωσης της διαδικασίας μεταβίβασης, το οποίο έγινε δεκτό με την ΠΟΛ 1133/2015 , όπως τροποποιήθηκε και ισχύει μετά και την ΠΟΛ1147/2015.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Συνεπώς με βάση τα ανωτέρω, οι εν θέματι εγκύκλιοι , καταλαμβάνουν όλα τα Επιβατικά Ιδιωτικής Χρήσης αυτοκίνητα οχήματα καθώς και τις δίκυκλες- τρίκυκλες μοτοσικλέτες.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Όλες τις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Περιοδικό Φορολογική Επιθεώρηση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Συνήγορος του Πολίτη –Χαλκοκονδύλη 17-ΤΚ 10432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 Γραφείο Διοικητή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. Γραφείο Γενικού Δ/ντη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.Γραφείο Γενικού Δ/ντη Ηλεκτρονικής Διακυβέρνησης &amp; Ανθρωπίνου Δυναμικού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 .Δ/νση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 .Δ/νση Νομικής Υποστήριξης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 .Δ.ΗΛ.Ε.Δ.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