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Σίνα 2-4</w:t>
      </w:r>
    </w:p>
    <w:p>
      <w:pPr>
        <w:spacing w:before="240" w:after="240"/>
        <w:rPr>
          <w:lang w:val="el" w:eastAsia="el"/>
        </w:rPr>
      </w:pPr>
      <w:r>
        <w:rPr>
          <w:lang w:val="el" w:eastAsia="el"/>
        </w:rPr>
        <w:t>10672 Αθήνα Μ. Εφραιμίδου</w:t>
      </w:r>
    </w:p>
    <w:p>
      <w:pPr>
        <w:spacing w:before="240" w:after="240"/>
        <w:rPr>
          <w:lang w:val="el" w:eastAsia="el"/>
        </w:rPr>
      </w:pPr>
      <w:r>
        <w:rPr>
          <w:lang w:val="el" w:eastAsia="el"/>
        </w:rPr>
        <w:t>210.3642570</w:t>
      </w:r>
    </w:p>
    <w:p>
      <w:pPr>
        <w:spacing w:before="240" w:after="240"/>
        <w:rPr>
          <w:lang w:val="el" w:eastAsia="el"/>
        </w:rPr>
      </w:pPr>
      <w:r>
        <w:rPr>
          <w:lang w:val="el" w:eastAsia="el"/>
        </w:rPr>
        <w:t>210.3645413</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Κοιν :</w:t>
      </w:r>
      <w:r>
        <w:rPr>
          <w:lang w:val="el" w:eastAsia="el"/>
        </w:rPr>
        <w:t>ΠΙΝΑΚΑ ΔΙΑΝΟΜΗΣ</w:t>
      </w:r>
    </w:p>
    <w:p>
      <w:pPr>
        <w:spacing w:before="240" w:after="240"/>
        <w:rPr>
          <w:lang w:val="el" w:eastAsia="el"/>
        </w:rPr>
      </w:pPr>
      <w:r>
        <w:rPr>
          <w:b/>
          <w:bCs/>
          <w:lang w:val="el" w:eastAsia="el"/>
        </w:rPr>
        <w:t>Θέμα: «Περί της επιβολής ή μη του προστίμου της παρ.4 του άρθρου 117 του ν.4387/2016(85 Α΄)»</w:t>
      </w:r>
    </w:p>
    <w:p>
      <w:pPr>
        <w:spacing w:before="240" w:after="240"/>
        <w:rPr>
          <w:lang w:val="el" w:eastAsia="el"/>
        </w:rPr>
      </w:pPr>
      <w:r>
        <w:rPr>
          <w:lang w:val="el" w:eastAsia="el"/>
        </w:rPr>
        <w:t xml:space="preserve">Με αφορμή ερωτήματα που μας έχουν απευθύνει οι Δ.Ο.Υ. σχετικά με την επιβολή ή μη του αυτοτελούς προστίμου του άρθρου 117 παρ. 4 του ν.4387/2016 (85 Α΄) το οποίο ανέρχεται στο διπλάσιο των τελών </w:t>
      </w:r>
      <w:r>
        <w:rPr>
          <w:u w:val="single"/>
          <w:lang w:val="el" w:eastAsia="el"/>
        </w:rPr>
        <w:t>κυκλοφορίας, στις περιπτώσεις κατά τις οποίες, σύμφωνα με τη διάταξη αυτή, έγινε άρση της ακινησίας</w:t>
      </w:r>
      <w:r>
        <w:rPr>
          <w:lang w:val="el" w:eastAsia="el"/>
        </w:rPr>
        <w:t xml:space="preserve"> αυτοκινήτου οχήματος τελούντος σε εκούσια φορολογική ακινησία στη Δ.Ο.Υ., </w:t>
      </w:r>
      <w:r>
        <w:rPr>
          <w:u w:val="single"/>
          <w:lang w:val="el" w:eastAsia="el"/>
        </w:rPr>
        <w:t>για το υπόλοιπο του έτους</w:t>
      </w:r>
      <w:r>
        <w:rPr>
          <w:u w:val="single"/>
          <w:lang w:val="el" w:eastAsia="el"/>
        </w:rPr>
        <w:t>και με υποχρέωση επιστροφής των στοιχείων κυκλοφορίας έως 31.12.2016</w:t>
      </w:r>
      <w:r>
        <w:rPr>
          <w:lang w:val="el" w:eastAsia="el"/>
        </w:rPr>
        <w:t xml:space="preserve">, αλλά τελικώς τα εν λόγω στοιχεία επεστράφησαν </w:t>
      </w:r>
      <w:r>
        <w:rPr>
          <w:b/>
          <w:bCs/>
          <w:lang w:val="el" w:eastAsia="el"/>
        </w:rPr>
        <w:t xml:space="preserve">είτε </w:t>
      </w:r>
      <w:r>
        <w:rPr>
          <w:lang w:val="el" w:eastAsia="el"/>
        </w:rPr>
        <w:t xml:space="preserve">εντός της παράτασης που δόθηκε για τη θέση των αυτοκινήτων σε ακινησία, ήτοι 09.01.2017 (ΠΟΛ.1205/2016), </w:t>
      </w:r>
      <w:r>
        <w:rPr>
          <w:b/>
          <w:bCs/>
          <w:lang w:val="el" w:eastAsia="el"/>
        </w:rPr>
        <w:t xml:space="preserve">είτε </w:t>
      </w:r>
      <w:r>
        <w:rPr>
          <w:lang w:val="el" w:eastAsia="el"/>
        </w:rPr>
        <w:t>εντός της παράτασης που δόθηκε για την εμπρόθεσμη καταβολή των τελών κυκλοφορίας έτους 2017, ήτοι έως 13.01.2017 (ΠΟΛ.1205/2016 &amp; ΠΟΛ.1001/2017), σας γνωρίζουμε τα εξής:</w:t>
      </w:r>
    </w:p>
    <w:p>
      <w:pPr>
        <w:spacing w:before="240" w:after="240"/>
        <w:rPr>
          <w:lang w:val="el" w:eastAsia="el"/>
        </w:rPr>
      </w:pPr>
      <w:r>
        <w:rPr>
          <w:lang w:val="el" w:eastAsia="el"/>
        </w:rPr>
        <w:t xml:space="preserve">Με τις ως άνω διατάξεις ορίζεται ότι, </w:t>
      </w:r>
      <w:r>
        <w:rPr>
          <w:u w:val="single"/>
          <w:lang w:val="el" w:eastAsia="el"/>
        </w:rPr>
        <w:t>η επιστροφή των στοιχείων κυκλοφορίας στην αρμόδια Δημόσια Οικονομική Υπηρεσία από τον ιδιοκτήτη ή κάτοχο του οχήματος, πραγματοποιείται την τελευταία</w:t>
      </w:r>
      <w:r>
        <w:rPr>
          <w:u w:val="single"/>
          <w:lang w:val="el" w:eastAsia="el"/>
        </w:rPr>
        <w:t>εργάσιμη ημέρα της περιόδου κυκλοφορίας του οχήματος για την οποία έχουν καταβληθεί τα τέλη</w:t>
      </w:r>
      <w:r>
        <w:rPr>
          <w:u w:val="single"/>
          <w:lang w:val="el" w:eastAsia="el"/>
        </w:rPr>
        <w:t>κυκλοφορίας,</w:t>
      </w:r>
      <w:r>
        <w:rPr>
          <w:lang w:val="el" w:eastAsia="el"/>
        </w:rPr>
        <w:t xml:space="preserve"> προκειμένου βεβαίως να τεθεί εκ νέου το όχημα σε ακινησία.</w:t>
      </w:r>
    </w:p>
    <w:p>
      <w:pPr>
        <w:spacing w:before="240" w:after="240"/>
        <w:rPr>
          <w:lang w:val="el" w:eastAsia="el"/>
        </w:rPr>
      </w:pPr>
      <w:r>
        <w:rPr>
          <w:lang w:val="el" w:eastAsia="el"/>
        </w:rPr>
        <w:t xml:space="preserve">Περαιτέρω με την αριθ. ΠΟΛ.1083/23.06.2016 εγκύκλιο </w:t>
      </w:r>
      <w:r>
        <w:rPr>
          <w:b/>
          <w:bCs/>
          <w:lang w:val="el" w:eastAsia="el"/>
        </w:rPr>
        <w:t xml:space="preserve">η Διοίκηση δέχτηκε </w:t>
      </w:r>
      <w:r>
        <w:rPr>
          <w:lang w:val="el" w:eastAsia="el"/>
        </w:rPr>
        <w:t xml:space="preserve">ότι δεν απαιτείται η επιστροφή των στοιχείων κυκλοφορίας στη Δ.Ο.Υ. όταν η άρση περιλαμβάνει και τον μήνα Δεκέμβριο, τελευταίο μήνα, του έτους 2016, εφόσον ο κάτοχος του οχήματος </w:t>
      </w:r>
      <w:r>
        <w:rPr>
          <w:u w:val="single"/>
          <w:lang w:val="el" w:eastAsia="el"/>
        </w:rPr>
        <w:t>καταβάλει εμπρόθεσμα τα τέλη</w:t>
      </w:r>
      <w:r>
        <w:rPr>
          <w:u w:val="single"/>
          <w:lang w:val="el" w:eastAsia="el"/>
        </w:rPr>
        <w:t>κυκλοφορίας του 2017.</w:t>
      </w:r>
    </w:p>
    <w:p>
      <w:pPr>
        <w:spacing w:before="240" w:after="240"/>
        <w:rPr>
          <w:lang w:val="el" w:eastAsia="el"/>
        </w:rPr>
      </w:pPr>
      <w:r>
        <w:rPr>
          <w:lang w:val="el" w:eastAsia="el"/>
        </w:rPr>
        <w:t>Σημειώνουμε ότι σύμφωνα με τις διατάξεις της υποπαρ.Ε7 του άρθρου πρώτου του ν.4093/2012 (222 Α΄), τα τέλη κυκλοφορίας εισπράττονται κατά το χρονικό διάστημα από την 1</w:t>
      </w:r>
      <w:r>
        <w:rPr>
          <w:sz w:val="30"/>
          <w:szCs w:val="30"/>
          <w:vertAlign w:val="superscript"/>
          <w:lang w:val="el" w:eastAsia="el"/>
        </w:rPr>
        <w:t>η</w:t>
      </w:r>
      <w:r>
        <w:rPr>
          <w:lang w:val="el" w:eastAsia="el"/>
        </w:rPr>
        <w:t xml:space="preserve"> Νοεμβρίου έως την 31</w:t>
      </w:r>
      <w:r>
        <w:rPr>
          <w:sz w:val="30"/>
          <w:szCs w:val="30"/>
          <w:vertAlign w:val="superscript"/>
          <w:lang w:val="el" w:eastAsia="el"/>
        </w:rPr>
        <w:t xml:space="preserve">η </w:t>
      </w:r>
      <w:r>
        <w:rPr>
          <w:lang w:val="el" w:eastAsia="el"/>
        </w:rPr>
        <w:t xml:space="preserve">Δεκεμβρίου του προηγουμένου έτους εκείνου στο οποίο αφορούν. Με απόφαση του Υπουργού Οικονομικών </w:t>
      </w:r>
      <w:r>
        <w:rPr>
          <w:u w:val="single"/>
          <w:lang w:val="el" w:eastAsia="el"/>
        </w:rPr>
        <w:t>είναι δυνατό να παρατείνεται η εν λόγω προβλεπόμενη προθεσμία καταβολής τους.</w:t>
      </w:r>
    </w:p>
    <w:p>
      <w:pPr>
        <w:spacing w:before="240" w:after="240"/>
        <w:rPr>
          <w:lang w:val="el" w:eastAsia="el"/>
        </w:rPr>
      </w:pPr>
      <w:r>
        <w:rPr>
          <w:lang w:val="el" w:eastAsia="el"/>
        </w:rPr>
        <w:t xml:space="preserve">Η έκδοση της ως άνω απόφασης Υπουργού Οικονομικών, η οποία παρατείνει </w:t>
      </w:r>
      <w:r>
        <w:rPr>
          <w:u w:val="single"/>
          <w:lang w:val="el" w:eastAsia="el"/>
        </w:rPr>
        <w:t>μόνο</w:t>
      </w:r>
      <w:r>
        <w:rPr>
          <w:lang w:val="el" w:eastAsia="el"/>
        </w:rPr>
        <w:t xml:space="preserve"> την εμπρόθεσμη καταβολή των τελών κυκλοφορίας, δεν δίνει τη δυνατότητα και για αντίστοιχη παράταση στην εμπρόθεσμη επιστροφή στη Δ.Ο.Υ. των στοιχείων κυκλοφορίας των οχημάτων που ήραν την ακινησία τους βάσει των διατάξεων του αρ. 117 του ν.4387/2016.</w:t>
      </w:r>
    </w:p>
    <w:p>
      <w:pPr>
        <w:spacing w:before="240" w:after="240"/>
        <w:rPr>
          <w:lang w:val="el" w:eastAsia="el"/>
        </w:rPr>
      </w:pPr>
      <w:r>
        <w:rPr>
          <w:lang w:val="el" w:eastAsia="el"/>
        </w:rPr>
        <w:t xml:space="preserve">Εφόσον όμως, η απόφαση του Υπουργού Οικονομικών για την παράταση της προθεσμίας καταβολής τελών κυκλοφορίας, προβλέπει ‘ρητώς’ και την </w:t>
      </w:r>
      <w:r>
        <w:rPr>
          <w:u w:val="single"/>
          <w:lang w:val="el" w:eastAsia="el"/>
        </w:rPr>
        <w:t>παράταση για τη θέση των οχημάτων σε ακινησία</w:t>
      </w:r>
      <w:r>
        <w:rPr>
          <w:lang w:val="el" w:eastAsia="el"/>
        </w:rPr>
        <w:t>, η επιστροφή των στοιχείων κυκλοφορίας στη Δ.Ο.Υ., προκειμένου για την εκ νέου θέση τους σε ακινησία και για το επόμενο έτος εντός του χρόνου παράτασης είναι εμπρόθεσμη.</w:t>
      </w:r>
    </w:p>
    <w:p>
      <w:pPr>
        <w:spacing w:before="240" w:after="240"/>
        <w:rPr>
          <w:lang w:val="el" w:eastAsia="el"/>
        </w:rPr>
      </w:pPr>
      <w:r>
        <w:rPr>
          <w:lang w:val="el" w:eastAsia="el"/>
        </w:rPr>
        <w:t>Ο ΔΙΟΙΚΗΤΗΣ ΤΗΣ ΑΑΔΕ</w:t>
      </w:r>
    </w:p>
    <w:p>
      <w:pPr>
        <w:spacing w:before="240" w:after="240"/>
        <w:rPr>
          <w:lang w:val="el" w:eastAsia="el"/>
        </w:rPr>
      </w:pPr>
      <w:r>
        <w:rPr>
          <w:lang w:val="el" w:eastAsia="el"/>
        </w:rPr>
        <w:t>Γ. ΠΙΤΣΙΛΗΣ</w:t>
      </w:r>
    </w:p>
    <w:p>
      <w:pPr>
        <w:spacing w:before="240" w:after="240"/>
        <w:rPr>
          <w:lang w:val="el" w:eastAsia="el"/>
        </w:rPr>
      </w:pPr>
      <w:r>
        <w:rPr>
          <w:b/>
          <w:bCs/>
          <w:u w:val="single"/>
          <w:lang w:val="el" w:eastAsia="el"/>
        </w:rPr>
        <w:t xml:space="preserve">ΑΠΟΔΕΚΤΕΣ ΠΡΟΣ ΕΝΕΡΓΕΙΑ </w:t>
      </w:r>
      <w:r>
        <w:rPr>
          <w:b/>
          <w:bCs/>
          <w:u w:val="single"/>
          <w:lang w:val="el" w:eastAsia="el"/>
        </w:rPr>
        <w:t>:</w:t>
      </w:r>
    </w:p>
    <w:p>
      <w:pPr>
        <w:pStyle w:val="StructureList1"/>
        <w:spacing w:before="120" w:after="0"/>
        <w:rPr>
          <w:lang w:val="el" w:eastAsia="el"/>
        </w:rPr>
      </w:pPr>
      <w:r>
        <w:rPr>
          <w:lang w:val="el" w:eastAsia="el"/>
        </w:rPr>
        <w:t>-</w:t>
      </w:r>
      <w:r>
        <w:rPr>
          <w:lang w:val="en" w:eastAsia="en"/>
        </w:rPr>
        <w:tab/>
      </w:r>
      <w:r>
        <w:rPr>
          <w:lang w:val="el" w:eastAsia="el"/>
        </w:rPr>
        <w:t>Όλες οι Δ.Ο.Υ.</w:t>
      </w:r>
    </w:p>
    <w:p>
      <w:pPr>
        <w:spacing w:before="240" w:after="240"/>
        <w:rPr>
          <w:lang w:val="el" w:eastAsia="el"/>
        </w:rPr>
      </w:pPr>
      <w:r>
        <w:rPr>
          <w:b/>
          <w:bCs/>
          <w:u w:val="single"/>
          <w:lang w:val="el" w:eastAsia="el"/>
        </w:rPr>
        <w:t xml:space="preserve">ΑΠΟΔΕΚΤΕΣ ΠΡΟΣ ΚΟΙΝΟΠΟΙΗΣΗ </w:t>
      </w:r>
      <w:r>
        <w:rPr>
          <w:b/>
          <w:bCs/>
          <w:u w:val="single"/>
          <w:lang w:val="el" w:eastAsia="el"/>
        </w:rPr>
        <w:t>:</w:t>
      </w:r>
    </w:p>
    <w:p>
      <w:pPr>
        <w:pStyle w:val="StructureList1"/>
        <w:spacing w:before="120" w:after="0"/>
        <w:rPr>
          <w:lang w:val="el" w:eastAsia="el"/>
        </w:rPr>
      </w:pPr>
      <w:r>
        <w:rPr>
          <w:lang w:val="el" w:eastAsia="el"/>
        </w:rPr>
        <w:t>-</w:t>
      </w:r>
      <w:r>
        <w:rPr>
          <w:lang w:val="en" w:eastAsia="en"/>
        </w:rPr>
        <w:tab/>
      </w:r>
      <w:r>
        <w:rPr>
          <w:lang w:val="el" w:eastAsia="el"/>
        </w:rPr>
        <w:t>Όλες οι Φορολογικές Περιφέρειες</w:t>
      </w:r>
    </w:p>
    <w:p>
      <w:pPr>
        <w:pStyle w:val="StructureList1"/>
        <w:spacing w:before="120" w:after="0"/>
        <w:rPr>
          <w:lang w:val="el" w:eastAsia="el"/>
        </w:rPr>
      </w:pPr>
      <w:r>
        <w:rPr>
          <w:lang w:val="el" w:eastAsia="el"/>
        </w:rPr>
        <w:t>-</w:t>
      </w:r>
      <w:r>
        <w:rPr>
          <w:lang w:val="en" w:eastAsia="en"/>
        </w:rPr>
        <w:tab/>
      </w:r>
      <w:r>
        <w:rPr>
          <w:lang w:val="el" w:eastAsia="el"/>
        </w:rPr>
        <w:t>Ηλεκτρονική Βιβλιοθήκη ΑΑΔΕ</w:t>
      </w:r>
    </w:p>
    <w:p>
      <w:pPr>
        <w:spacing w:before="240" w:after="240"/>
        <w:rPr>
          <w:lang w:val="el" w:eastAsia="el"/>
        </w:rPr>
      </w:pPr>
      <w:r>
        <w:rPr>
          <w:b/>
          <w:bCs/>
          <w:u w:val="single"/>
          <w:lang w:val="el" w:eastAsia="el"/>
        </w:rPr>
        <w:t>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Διοικητή ΑΑΔΕ</w:t>
      </w:r>
    </w:p>
    <w:p>
      <w:pPr>
        <w:pStyle w:val="StructureList1"/>
        <w:spacing w:before="120" w:after="0"/>
        <w:rPr>
          <w:lang w:val="el" w:eastAsia="el"/>
        </w:rPr>
      </w:pPr>
      <w:r>
        <w:rPr>
          <w:lang w:val="el" w:eastAsia="el"/>
        </w:rPr>
        <w:t>-</w:t>
      </w:r>
      <w:r>
        <w:rPr>
          <w:lang w:val="en" w:eastAsia="en"/>
        </w:rPr>
        <w:tab/>
      </w:r>
      <w:r>
        <w:rPr>
          <w:lang w:val="el" w:eastAsia="el"/>
        </w:rPr>
        <w:t>Γραφείο Γενικού Διευθυντή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Διεύθυνση Νομικής Υποστήριξης ΑΑΔΕ</w:t>
      </w:r>
    </w:p>
    <w:p>
      <w:pPr>
        <w:pStyle w:val="StructureList1"/>
        <w:spacing w:before="120" w:after="0"/>
        <w:rPr>
          <w:lang w:val="el" w:eastAsia="el"/>
        </w:rPr>
      </w:pPr>
      <w:r>
        <w:rPr>
          <w:lang w:val="el" w:eastAsia="el"/>
        </w:rPr>
        <w:t>-</w:t>
      </w:r>
      <w:r>
        <w:rPr>
          <w:lang w:val="en" w:eastAsia="en"/>
        </w:rPr>
        <w:tab/>
      </w:r>
      <w:r>
        <w:rPr>
          <w:lang w:val="el" w:eastAsia="el"/>
        </w:rPr>
        <w:t>Διεύθυνση Εισπράξεων</w:t>
      </w:r>
    </w:p>
    <w:p>
      <w:pPr>
        <w:pStyle w:val="StructureList1"/>
        <w:spacing w:before="120" w:after="0"/>
        <w:rPr>
          <w:lang w:val="el" w:eastAsia="el"/>
        </w:rPr>
      </w:pPr>
      <w:r>
        <w:rPr>
          <w:lang w:val="el" w:eastAsia="el"/>
        </w:rPr>
        <w:t>-</w:t>
      </w:r>
      <w:r>
        <w:rPr>
          <w:lang w:val="en" w:eastAsia="en"/>
        </w:rPr>
        <w:tab/>
      </w:r>
      <w:r>
        <w:rPr>
          <w:lang w:val="el" w:eastAsia="el"/>
        </w:rPr>
        <w:t>Διεύθυνση Ηλεκτρονικής Διακυβέρνησης (ΔΗΛΕΔ)</w:t>
      </w:r>
    </w:p>
    <w:p>
      <w:pPr>
        <w:pStyle w:val="StructureList1"/>
        <w:spacing w:before="120" w:after="0"/>
        <w:rPr>
          <w:lang w:val="el" w:eastAsia="el"/>
        </w:rPr>
      </w:pPr>
      <w:r>
        <w:rPr>
          <w:lang w:val="el" w:eastAsia="el"/>
        </w:rPr>
        <w:t>-</w:t>
      </w:r>
      <w:r>
        <w:rPr>
          <w:lang w:val="en" w:eastAsia="en"/>
        </w:rPr>
        <w:tab/>
      </w:r>
      <w:r>
        <w:rPr>
          <w:lang w:val="el" w:eastAsia="el"/>
        </w:rPr>
        <w:t>Διεύθυνση Υποστήριξης Ηλεκτρονικών Υπηρεσιών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