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ΑΑΔΕ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 Α. ΔΙΕΥΘΥΝΣΗ ΕΙΣΠΡΑΞΕΩΝ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 Α΄ - Β΄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Β.ΔΙΕΥΘΥΝΣΗ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Γ’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ΑΔΑ:Ψ9Υ146ΜΠ3Ζ-ΤΟ3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29 Δεκεμβρίου 2017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 1221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210 3635007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210 3635077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 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«Κοινοποίηση διατάξεων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του άρθρου 79 Ν.4509/2017 (ΦΕΚ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201/Α/22.12.2017)»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για ενημέρωση και εφαρμογή – εφόσον συντρέχει περίπτωση - τις διατάξεις του άρθρου 79 του Ν. 4509/2017 που δημοσιεύθηκε στο ΦΕΚ 201/Α/22.12.2017 με έναρξη ισχύος αυτής από την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ΤΗΣ ΓΕΝ. Δ/ΝΣΗΣ 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ΕΥΘ. ΣΑΪΤΗΣ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Συνημμένα</w:t>
      </w:r>
      <w:r>
        <w:rPr>
          <w:lang w:val="el" w:eastAsia="el"/>
        </w:rPr>
        <w:t>: σελίδες 3 (Αρ. 79 Ν. 4509/2017, ΦΕΚ 201/Α/22.12.2017)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Υποστήριξης Ηλεκτρονικών Υπηρεσιών (με την παράκληση να αναρτηθεί στο διαδικτυακό τόπο της Α.Α.Δ.Ε.).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Α, Β, Δ, Ε, ΣΤ, Ζ, Η, Θ, Ι, ΙΒ, ΙΔ, ΙΕ, ΙΣΤ.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Γραφεία κ.κ.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Δ/νση Ηλεκτρονικής Διακυβέρνησης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Δ/νση Εισπράξεων- Τμήματα Α, Β, Γ, Δ, Ε, Γραμματεία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Αυτοτελές Τμήμα Συντονισμού Μεταρρυθμιστικών Δράσεων και Επικοινωνίας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ade.gr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